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54944">
      <w:pPr>
        <w:widowControl/>
        <w:shd w:val="clear" w:color="auto" w:fill="FFFFFF"/>
        <w:spacing w:before="100" w:beforeAutospacing="1" w:after="100" w:afterAutospacing="1" w:line="420" w:lineRule="atLeast"/>
        <w:jc w:val="center"/>
        <w:rPr>
          <w:rFonts w:ascii="宋体" w:hAnsi="宋体" w:eastAsia="宋体" w:cs="Times New Roman"/>
          <w:b/>
          <w:bCs/>
          <w:spacing w:val="-6"/>
          <w:kern w:val="0"/>
          <w:sz w:val="36"/>
          <w:szCs w:val="36"/>
        </w:rPr>
      </w:pPr>
      <w:r>
        <w:rPr>
          <w:rFonts w:hint="eastAsia" w:ascii="宋体" w:hAnsi="宋体" w:eastAsia="宋体" w:cs="Times New Roman"/>
          <w:b/>
          <w:bCs/>
          <w:spacing w:val="-11"/>
          <w:kern w:val="0"/>
          <w:sz w:val="36"/>
          <w:szCs w:val="36"/>
        </w:rPr>
        <w:t>启东市汇龙中学灭火器采购与安装项目</w:t>
      </w:r>
      <w:r>
        <w:rPr>
          <w:rFonts w:hint="eastAsia" w:ascii="宋体" w:hAnsi="宋体" w:eastAsia="宋体" w:cs="Times New Roman"/>
          <w:b/>
          <w:bCs/>
          <w:spacing w:val="-6"/>
          <w:kern w:val="0"/>
          <w:sz w:val="36"/>
          <w:szCs w:val="36"/>
        </w:rPr>
        <w:t>询价公告</w:t>
      </w:r>
    </w:p>
    <w:p w14:paraId="0CB1023B">
      <w:pPr>
        <w:widowControl/>
        <w:spacing w:line="500" w:lineRule="exact"/>
        <w:ind w:firstLine="560" w:firstLineChars="200"/>
        <w:rPr>
          <w:rFonts w:ascii="仿宋_GB2312" w:hAnsi="Calibri" w:eastAsia="仿宋_GB2312" w:cs="Times New Roman"/>
          <w:kern w:val="0"/>
          <w:sz w:val="28"/>
          <w:szCs w:val="28"/>
        </w:rPr>
      </w:pPr>
      <w:r>
        <w:rPr>
          <w:rFonts w:hint="eastAsia" w:ascii="仿宋_GB2312" w:hAnsi="Calibri" w:eastAsia="仿宋_GB2312" w:cs="Times New Roman"/>
          <w:kern w:val="0"/>
          <w:sz w:val="28"/>
          <w:szCs w:val="28"/>
        </w:rPr>
        <w:t>启东市汇龙中学根据启东市政府采购管理的有关规定</w:t>
      </w:r>
      <w:r>
        <w:rPr>
          <w:rFonts w:ascii="仿宋_GB2312" w:hAnsi="Calibri" w:eastAsia="仿宋_GB2312" w:cs="Times New Roman"/>
          <w:kern w:val="0"/>
          <w:sz w:val="28"/>
          <w:szCs w:val="28"/>
        </w:rPr>
        <w:t>，就</w:t>
      </w:r>
      <w:r>
        <w:rPr>
          <w:rFonts w:hint="eastAsia" w:ascii="仿宋_GB2312" w:hAnsi="Calibri" w:eastAsia="仿宋_GB2312" w:cs="Times New Roman"/>
          <w:kern w:val="0"/>
          <w:sz w:val="28"/>
          <w:szCs w:val="28"/>
        </w:rPr>
        <w:t>启东市汇龙中学灭火器采购与安装项目</w:t>
      </w:r>
      <w:r>
        <w:rPr>
          <w:rFonts w:ascii="仿宋_GB2312" w:hAnsi="Calibri" w:eastAsia="仿宋_GB2312" w:cs="Times New Roman"/>
          <w:kern w:val="0"/>
          <w:sz w:val="28"/>
          <w:szCs w:val="28"/>
        </w:rPr>
        <w:t>进行询价</w:t>
      </w:r>
      <w:r>
        <w:rPr>
          <w:rFonts w:hint="eastAsia" w:ascii="仿宋_GB2312" w:hAnsi="Calibri" w:eastAsia="仿宋_GB2312" w:cs="Times New Roman"/>
          <w:kern w:val="0"/>
          <w:sz w:val="28"/>
          <w:szCs w:val="28"/>
        </w:rPr>
        <w:t>采购(详细内容见采购需求)。</w:t>
      </w:r>
    </w:p>
    <w:p w14:paraId="43CB7164">
      <w:pPr>
        <w:spacing w:line="600" w:lineRule="exact"/>
        <w:ind w:firstLine="602" w:firstLineChars="200"/>
        <w:jc w:val="left"/>
        <w:rPr>
          <w:rFonts w:ascii="黑体" w:hAnsi="黑体" w:eastAsia="黑体" w:cs="Times New Roman"/>
          <w:b/>
          <w:bCs/>
          <w:kern w:val="0"/>
          <w:sz w:val="30"/>
          <w:szCs w:val="30"/>
        </w:rPr>
      </w:pPr>
      <w:r>
        <w:rPr>
          <w:rFonts w:hint="eastAsia" w:ascii="黑体" w:hAnsi="黑体" w:eastAsia="黑体" w:cs="Times New Roman"/>
          <w:b/>
          <w:bCs/>
          <w:kern w:val="0"/>
          <w:sz w:val="30"/>
          <w:szCs w:val="30"/>
        </w:rPr>
        <w:t>一、采购需求</w:t>
      </w:r>
    </w:p>
    <w:tbl>
      <w:tblPr>
        <w:tblStyle w:val="5"/>
        <w:tblW w:w="9568" w:type="dxa"/>
        <w:jc w:val="center"/>
        <w:tblLayout w:type="fixed"/>
        <w:tblCellMar>
          <w:top w:w="0" w:type="dxa"/>
          <w:left w:w="108" w:type="dxa"/>
          <w:bottom w:w="0" w:type="dxa"/>
          <w:right w:w="108" w:type="dxa"/>
        </w:tblCellMar>
      </w:tblPr>
      <w:tblGrid>
        <w:gridCol w:w="658"/>
        <w:gridCol w:w="1350"/>
        <w:gridCol w:w="5657"/>
        <w:gridCol w:w="851"/>
        <w:gridCol w:w="1052"/>
      </w:tblGrid>
      <w:tr w14:paraId="2786BFB8">
        <w:tblPrEx>
          <w:tblCellMar>
            <w:top w:w="0" w:type="dxa"/>
            <w:left w:w="108" w:type="dxa"/>
            <w:bottom w:w="0" w:type="dxa"/>
            <w:right w:w="108" w:type="dxa"/>
          </w:tblCellMar>
        </w:tblPrEx>
        <w:trPr>
          <w:trHeight w:val="50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8C12A82">
            <w:pPr>
              <w:widowControl/>
              <w:jc w:val="center"/>
              <w:textAlignment w:val="center"/>
              <w:rPr>
                <w:rFonts w:ascii="Calibri" w:hAnsi="Calibri" w:eastAsia="宋体" w:cs="Calibri"/>
                <w:sz w:val="24"/>
                <w:szCs w:val="24"/>
              </w:rPr>
            </w:pPr>
            <w:r>
              <w:rPr>
                <w:rFonts w:hint="eastAsia" w:ascii="宋体" w:hAnsi="宋体" w:eastAsia="宋体" w:cs="Times New Roman"/>
                <w:kern w:val="0"/>
                <w:sz w:val="24"/>
                <w:szCs w:val="24"/>
              </w:rPr>
              <w:t>序号</w:t>
            </w:r>
          </w:p>
        </w:tc>
        <w:tc>
          <w:tcPr>
            <w:tcW w:w="1350" w:type="dxa"/>
            <w:tcBorders>
              <w:top w:val="single" w:color="000000" w:sz="4" w:space="0"/>
              <w:left w:val="nil"/>
              <w:bottom w:val="single" w:color="000000" w:sz="4" w:space="0"/>
              <w:right w:val="single" w:color="000000" w:sz="4" w:space="0"/>
            </w:tcBorders>
            <w:noWrap/>
            <w:vAlign w:val="center"/>
          </w:tcPr>
          <w:p w14:paraId="1F0871B7">
            <w:pPr>
              <w:widowControl/>
              <w:jc w:val="center"/>
              <w:textAlignment w:val="center"/>
              <w:rPr>
                <w:rFonts w:ascii="Calibri" w:hAnsi="Calibri" w:eastAsia="宋体" w:cs="Calibri"/>
                <w:sz w:val="24"/>
                <w:szCs w:val="24"/>
              </w:rPr>
            </w:pPr>
            <w:r>
              <w:rPr>
                <w:rFonts w:hint="eastAsia" w:ascii="宋体" w:hAnsi="宋体" w:eastAsia="宋体" w:cs="Times New Roman"/>
                <w:kern w:val="0"/>
                <w:sz w:val="24"/>
                <w:szCs w:val="24"/>
              </w:rPr>
              <w:t>名称</w:t>
            </w:r>
          </w:p>
        </w:tc>
        <w:tc>
          <w:tcPr>
            <w:tcW w:w="5657" w:type="dxa"/>
            <w:tcBorders>
              <w:top w:val="single" w:color="000000" w:sz="4" w:space="0"/>
              <w:left w:val="nil"/>
              <w:bottom w:val="single" w:color="000000" w:sz="4" w:space="0"/>
              <w:right w:val="single" w:color="000000" w:sz="4" w:space="0"/>
            </w:tcBorders>
            <w:noWrap/>
            <w:vAlign w:val="center"/>
          </w:tcPr>
          <w:p w14:paraId="68D93404">
            <w:pPr>
              <w:widowControl/>
              <w:jc w:val="center"/>
              <w:textAlignment w:val="center"/>
              <w:rPr>
                <w:rFonts w:ascii="Calibri" w:hAnsi="Calibri" w:eastAsia="宋体" w:cs="Calibri"/>
                <w:sz w:val="24"/>
                <w:szCs w:val="24"/>
              </w:rPr>
            </w:pPr>
            <w:r>
              <w:rPr>
                <w:rFonts w:hint="eastAsia" w:ascii="宋体" w:hAnsi="宋体" w:eastAsia="宋体" w:cs="Times New Roman"/>
                <w:kern w:val="0"/>
                <w:sz w:val="24"/>
                <w:szCs w:val="24"/>
              </w:rPr>
              <w:t>规格和参数</w:t>
            </w:r>
          </w:p>
        </w:tc>
        <w:tc>
          <w:tcPr>
            <w:tcW w:w="851" w:type="dxa"/>
            <w:tcBorders>
              <w:top w:val="single" w:color="000000" w:sz="4" w:space="0"/>
              <w:left w:val="nil"/>
              <w:bottom w:val="single" w:color="000000" w:sz="4" w:space="0"/>
              <w:right w:val="single" w:color="000000" w:sz="4" w:space="0"/>
            </w:tcBorders>
            <w:noWrap/>
            <w:vAlign w:val="center"/>
          </w:tcPr>
          <w:p w14:paraId="1F4AD7E6">
            <w:pPr>
              <w:widowControl/>
              <w:jc w:val="center"/>
              <w:textAlignment w:val="center"/>
              <w:rPr>
                <w:rFonts w:ascii="Calibri" w:hAnsi="Calibri" w:eastAsia="宋体" w:cs="Calibri"/>
                <w:sz w:val="24"/>
                <w:szCs w:val="24"/>
              </w:rPr>
            </w:pPr>
            <w:r>
              <w:rPr>
                <w:rFonts w:hint="eastAsia" w:ascii="宋体" w:hAnsi="宋体" w:eastAsia="宋体" w:cs="Times New Roman"/>
                <w:kern w:val="0"/>
                <w:sz w:val="24"/>
                <w:szCs w:val="24"/>
              </w:rPr>
              <w:t>单位</w:t>
            </w:r>
          </w:p>
        </w:tc>
        <w:tc>
          <w:tcPr>
            <w:tcW w:w="1052" w:type="dxa"/>
            <w:tcBorders>
              <w:top w:val="single" w:color="000000" w:sz="4" w:space="0"/>
              <w:left w:val="nil"/>
              <w:bottom w:val="single" w:color="000000" w:sz="4" w:space="0"/>
              <w:right w:val="single" w:color="000000" w:sz="4" w:space="0"/>
            </w:tcBorders>
            <w:noWrap/>
            <w:vAlign w:val="center"/>
          </w:tcPr>
          <w:p w14:paraId="3BBE3ACE">
            <w:pPr>
              <w:widowControl/>
              <w:jc w:val="center"/>
              <w:textAlignment w:val="center"/>
              <w:rPr>
                <w:rFonts w:ascii="Calibri" w:hAnsi="Calibri" w:eastAsia="宋体" w:cs="Calibri"/>
                <w:sz w:val="24"/>
                <w:szCs w:val="24"/>
              </w:rPr>
            </w:pPr>
            <w:r>
              <w:rPr>
                <w:rFonts w:hint="eastAsia" w:ascii="宋体" w:hAnsi="宋体" w:eastAsia="宋体" w:cs="Times New Roman"/>
                <w:kern w:val="0"/>
                <w:sz w:val="24"/>
                <w:szCs w:val="24"/>
              </w:rPr>
              <w:t>数量</w:t>
            </w:r>
          </w:p>
        </w:tc>
      </w:tr>
      <w:tr w14:paraId="73923DEE">
        <w:tblPrEx>
          <w:tblCellMar>
            <w:top w:w="0" w:type="dxa"/>
            <w:left w:w="108" w:type="dxa"/>
            <w:bottom w:w="0" w:type="dxa"/>
            <w:right w:w="108" w:type="dxa"/>
          </w:tblCellMar>
        </w:tblPrEx>
        <w:trPr>
          <w:trHeight w:val="50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479280F5">
            <w:pPr>
              <w:widowControl/>
              <w:jc w:val="center"/>
              <w:textAlignment w:val="center"/>
              <w:rPr>
                <w:rFonts w:ascii="Calibri" w:hAnsi="Calibri" w:eastAsia="宋体" w:cs="Calibri"/>
                <w:sz w:val="24"/>
                <w:szCs w:val="24"/>
              </w:rPr>
            </w:pPr>
            <w:r>
              <w:rPr>
                <w:rFonts w:ascii="Calibri" w:hAnsi="Calibri" w:eastAsia="宋体" w:cs="Calibri"/>
                <w:kern w:val="0"/>
                <w:sz w:val="24"/>
                <w:szCs w:val="24"/>
              </w:rPr>
              <w:t>1</w:t>
            </w:r>
          </w:p>
        </w:tc>
        <w:tc>
          <w:tcPr>
            <w:tcW w:w="1350" w:type="dxa"/>
            <w:tcBorders>
              <w:top w:val="single" w:color="000000" w:sz="4" w:space="0"/>
              <w:left w:val="nil"/>
              <w:bottom w:val="single" w:color="000000" w:sz="4" w:space="0"/>
              <w:right w:val="single" w:color="000000" w:sz="4" w:space="0"/>
            </w:tcBorders>
            <w:noWrap/>
            <w:vAlign w:val="center"/>
          </w:tcPr>
          <w:p w14:paraId="6DFA5D89">
            <w:pPr>
              <w:widowControl/>
              <w:jc w:val="center"/>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手提式干粉灭火器（</w:t>
            </w:r>
            <w:r>
              <w:rPr>
                <w:rFonts w:hint="eastAsia" w:ascii="宋体" w:hAnsi="宋体" w:eastAsia="宋体" w:cs="Times New Roman"/>
                <w:kern w:val="0"/>
                <w:sz w:val="22"/>
              </w:rPr>
              <w:t>4公斤</w:t>
            </w:r>
            <w:r>
              <w:rPr>
                <w:rFonts w:hint="eastAsia" w:ascii="宋体" w:hAnsi="宋体" w:eastAsia="宋体" w:cs="Times New Roman"/>
                <w:kern w:val="0"/>
                <w:sz w:val="24"/>
                <w:szCs w:val="24"/>
              </w:rPr>
              <w:t>MF/ABCE4）</w:t>
            </w:r>
          </w:p>
        </w:tc>
        <w:tc>
          <w:tcPr>
            <w:tcW w:w="5657" w:type="dxa"/>
            <w:tcBorders>
              <w:top w:val="single" w:color="000000" w:sz="4" w:space="0"/>
              <w:left w:val="nil"/>
              <w:bottom w:val="single" w:color="000000" w:sz="4" w:space="0"/>
              <w:right w:val="single" w:color="000000" w:sz="4" w:space="0"/>
            </w:tcBorders>
            <w:noWrap/>
            <w:vAlign w:val="center"/>
          </w:tcPr>
          <w:p w14:paraId="06F69C10">
            <w:pPr>
              <w:pStyle w:val="9"/>
              <w:kinsoku w:val="0"/>
              <w:overflowPunct w:val="0"/>
              <w:spacing w:before="35"/>
              <w:ind w:right="1"/>
              <w:rPr>
                <w:rFonts w:ascii="宋体" w:hAnsi="宋体"/>
              </w:rPr>
            </w:pPr>
            <w:r>
              <w:rPr>
                <w:rFonts w:hint="eastAsia" w:ascii="宋体" w:hAnsi="宋体"/>
              </w:rPr>
              <w:t>1、灭火剂的种类：干粉灭火剂</w:t>
            </w:r>
          </w:p>
          <w:p w14:paraId="6BE0BFEC">
            <w:pPr>
              <w:pStyle w:val="9"/>
              <w:kinsoku w:val="0"/>
              <w:overflowPunct w:val="0"/>
              <w:spacing w:before="35"/>
              <w:ind w:right="1"/>
              <w:rPr>
                <w:rFonts w:ascii="宋体" w:hAnsi="宋体"/>
              </w:rPr>
            </w:pPr>
            <w:r>
              <w:rPr>
                <w:rFonts w:hint="eastAsia" w:ascii="宋体" w:hAnsi="宋体"/>
              </w:rPr>
              <w:t>ABC-NH4 H2PO4 (75%)+(NH4)2SO4(15%)</w:t>
            </w:r>
          </w:p>
          <w:p w14:paraId="58C0C339">
            <w:pPr>
              <w:pStyle w:val="9"/>
              <w:kinsoku w:val="0"/>
              <w:overflowPunct w:val="0"/>
              <w:spacing w:before="35"/>
              <w:ind w:right="1"/>
              <w:rPr>
                <w:rFonts w:ascii="宋体" w:hAnsi="宋体"/>
              </w:rPr>
            </w:pPr>
            <w:r>
              <w:rPr>
                <w:rFonts w:hint="eastAsia" w:ascii="宋体" w:hAnsi="宋体"/>
              </w:rPr>
              <w:t xml:space="preserve">2、产品认证实施规则：CNCA -C18-03:2014  </w:t>
            </w:r>
          </w:p>
          <w:p w14:paraId="1EC1ED88">
            <w:pPr>
              <w:pStyle w:val="9"/>
              <w:kinsoku w:val="0"/>
              <w:overflowPunct w:val="0"/>
              <w:spacing w:before="35"/>
              <w:ind w:right="1"/>
              <w:rPr>
                <w:rFonts w:ascii="宋体" w:hAnsi="宋体"/>
              </w:rPr>
            </w:pPr>
            <w:r>
              <w:rPr>
                <w:rFonts w:hint="eastAsia" w:ascii="宋体" w:hAnsi="宋体"/>
              </w:rPr>
              <w:t>3、产品认证实施细则： CCCF-MHSB -06</w:t>
            </w:r>
          </w:p>
          <w:p w14:paraId="0F249C1C">
            <w:pPr>
              <w:pStyle w:val="9"/>
              <w:kinsoku w:val="0"/>
              <w:overflowPunct w:val="0"/>
              <w:spacing w:before="35"/>
              <w:ind w:right="1"/>
              <w:rPr>
                <w:rFonts w:ascii="宋体" w:hAnsi="宋体"/>
              </w:rPr>
            </w:pPr>
            <w:r>
              <w:rPr>
                <w:rFonts w:hint="eastAsia" w:ascii="宋体" w:hAnsi="宋体"/>
              </w:rPr>
              <w:t>4、产品标准：GB 4351-2023</w:t>
            </w:r>
          </w:p>
          <w:p w14:paraId="3966191A">
            <w:pPr>
              <w:pStyle w:val="9"/>
              <w:kinsoku w:val="0"/>
              <w:overflowPunct w:val="0"/>
              <w:spacing w:before="35"/>
              <w:ind w:right="1"/>
              <w:rPr>
                <w:rFonts w:ascii="宋体" w:hAnsi="宋体"/>
              </w:rPr>
            </w:pPr>
            <w:r>
              <w:rPr>
                <w:rFonts w:hint="eastAsia" w:ascii="宋体" w:hAnsi="宋体"/>
              </w:rPr>
              <w:t>5、灭火器灭火级别：2A 55B C E</w:t>
            </w:r>
          </w:p>
          <w:p w14:paraId="5B400DE4">
            <w:pPr>
              <w:pStyle w:val="9"/>
              <w:kinsoku w:val="0"/>
              <w:overflowPunct w:val="0"/>
              <w:spacing w:before="35"/>
              <w:ind w:right="1"/>
              <w:rPr>
                <w:rFonts w:ascii="宋体" w:hAnsi="宋体"/>
              </w:rPr>
            </w:pPr>
            <w:r>
              <w:rPr>
                <w:rFonts w:hint="eastAsia" w:ascii="宋体" w:hAnsi="宋体"/>
              </w:rPr>
              <w:t>6、灭火器使用温度范围：-20~+60℃</w:t>
            </w:r>
          </w:p>
          <w:p w14:paraId="5016149D">
            <w:pPr>
              <w:pStyle w:val="9"/>
              <w:kinsoku w:val="0"/>
              <w:overflowPunct w:val="0"/>
              <w:spacing w:before="35"/>
              <w:ind w:right="1"/>
              <w:rPr>
                <w:rFonts w:ascii="宋体" w:hAnsi="宋体"/>
              </w:rPr>
            </w:pPr>
            <w:r>
              <w:rPr>
                <w:rFonts w:hint="eastAsia" w:ascii="宋体" w:hAnsi="宋体"/>
              </w:rPr>
              <w:t>7、灭火器驱动气体名称和数量或压力：氮气、≥99%、1.2MPa(20℃)</w:t>
            </w:r>
          </w:p>
          <w:p w14:paraId="30427211">
            <w:pPr>
              <w:pStyle w:val="9"/>
              <w:kinsoku w:val="0"/>
              <w:overflowPunct w:val="0"/>
              <w:spacing w:before="35"/>
              <w:ind w:right="1"/>
              <w:rPr>
                <w:rFonts w:ascii="宋体" w:hAnsi="宋体"/>
              </w:rPr>
            </w:pPr>
            <w:r>
              <w:rPr>
                <w:rFonts w:hint="eastAsia" w:ascii="宋体" w:hAnsi="宋体"/>
              </w:rPr>
              <w:t>8、水压试验压力：2.1MPa</w:t>
            </w:r>
          </w:p>
          <w:p w14:paraId="74136F68">
            <w:pPr>
              <w:pStyle w:val="9"/>
              <w:kinsoku w:val="0"/>
              <w:overflowPunct w:val="0"/>
              <w:spacing w:before="35"/>
              <w:ind w:right="1"/>
              <w:rPr>
                <w:rFonts w:ascii="宋体" w:hAnsi="宋体"/>
              </w:rPr>
            </w:pPr>
            <w:r>
              <w:rPr>
                <w:rFonts w:hint="eastAsia" w:ascii="宋体" w:hAnsi="宋体"/>
              </w:rPr>
              <w:t>9、 电绝缘性：5KV</w:t>
            </w:r>
          </w:p>
          <w:p w14:paraId="2F0E737E">
            <w:pPr>
              <w:pStyle w:val="9"/>
              <w:kinsoku w:val="0"/>
              <w:overflowPunct w:val="0"/>
              <w:spacing w:before="35"/>
              <w:ind w:right="1"/>
              <w:rPr>
                <w:rFonts w:ascii="宋体" w:hAnsi="宋体"/>
              </w:rPr>
            </w:pPr>
            <w:r>
              <w:rPr>
                <w:rFonts w:hint="eastAsia" w:ascii="宋体" w:hAnsi="宋体"/>
              </w:rPr>
              <w:t>10、最小有效喷射时间：≥13±3s</w:t>
            </w:r>
          </w:p>
          <w:p w14:paraId="5F24273C">
            <w:pPr>
              <w:pStyle w:val="9"/>
              <w:kinsoku w:val="0"/>
              <w:overflowPunct w:val="0"/>
              <w:spacing w:before="35"/>
              <w:ind w:right="1"/>
              <w:rPr>
                <w:rFonts w:ascii="宋体" w:hAnsi="宋体"/>
              </w:rPr>
            </w:pPr>
            <w:r>
              <w:rPr>
                <w:rFonts w:hint="eastAsia" w:ascii="宋体" w:hAnsi="宋体"/>
              </w:rPr>
              <w:t>11、最小喷射距离：≥3m</w:t>
            </w:r>
          </w:p>
          <w:p w14:paraId="3948EF62">
            <w:pPr>
              <w:pStyle w:val="9"/>
              <w:kinsoku w:val="0"/>
              <w:overflowPunct w:val="0"/>
              <w:spacing w:before="35"/>
              <w:ind w:right="1"/>
              <w:rPr>
                <w:rFonts w:ascii="宋体" w:hAnsi="宋体"/>
              </w:rPr>
            </w:pPr>
            <w:r>
              <w:rPr>
                <w:rFonts w:hint="eastAsia" w:ascii="宋体" w:hAnsi="宋体"/>
              </w:rPr>
              <w:t>12、灭火剂净重量：4KG</w:t>
            </w:r>
          </w:p>
          <w:p w14:paraId="6DE3ED1F">
            <w:pPr>
              <w:pStyle w:val="9"/>
              <w:kinsoku w:val="0"/>
              <w:overflowPunct w:val="0"/>
              <w:spacing w:before="35"/>
              <w:ind w:right="1"/>
              <w:rPr>
                <w:rFonts w:ascii="宋体" w:hAnsi="宋体"/>
              </w:rPr>
            </w:pPr>
            <w:r>
              <w:rPr>
                <w:rFonts w:hint="eastAsia" w:ascii="宋体" w:hAnsi="宋体"/>
              </w:rPr>
              <w:t>13、筒体壁厚：≥1.14mm</w:t>
            </w:r>
            <w:r>
              <w:rPr>
                <w:rFonts w:hint="eastAsia" w:ascii="宋体" w:hAnsi="宋体"/>
              </w:rPr>
              <w:tab/>
            </w:r>
            <w:r>
              <w:rPr>
                <w:rFonts w:hint="eastAsia" w:ascii="宋体" w:hAnsi="宋体"/>
              </w:rPr>
              <w:t>碳钢</w:t>
            </w:r>
          </w:p>
          <w:p w14:paraId="37F37F3C">
            <w:pPr>
              <w:pStyle w:val="9"/>
              <w:kinsoku w:val="0"/>
              <w:overflowPunct w:val="0"/>
              <w:spacing w:before="35"/>
              <w:ind w:right="1"/>
              <w:rPr>
                <w:rFonts w:ascii="宋体" w:hAnsi="宋体"/>
              </w:rPr>
            </w:pPr>
            <w:r>
              <w:rPr>
                <w:rFonts w:hint="eastAsia" w:ascii="宋体" w:hAnsi="宋体"/>
              </w:rPr>
              <w:t>14、灭火器高度≤51cm</w:t>
            </w:r>
          </w:p>
          <w:p w14:paraId="552FE569">
            <w:pPr>
              <w:widowControl/>
              <w:spacing w:line="300" w:lineRule="exact"/>
              <w:jc w:val="left"/>
              <w:rPr>
                <w:rFonts w:ascii="Calibri" w:hAnsi="Calibri" w:eastAsia="宋体" w:cs="Times New Roman"/>
                <w:szCs w:val="21"/>
              </w:rPr>
            </w:pPr>
            <w:r>
              <w:rPr>
                <w:rFonts w:hint="eastAsia" w:ascii="宋体" w:hAnsi="宋体" w:eastAsia="宋体" w:cs="Times New Roman"/>
                <w:b/>
                <w:bCs/>
                <w:szCs w:val="21"/>
              </w:rPr>
              <w:t>★瓶身须有：①3C认证标志，②按消防规定贴S码A签、B签、二维码可直接扫一扫进入官网查询真伪，③出厂合格证明。</w:t>
            </w:r>
          </w:p>
        </w:tc>
        <w:tc>
          <w:tcPr>
            <w:tcW w:w="851" w:type="dxa"/>
            <w:tcBorders>
              <w:top w:val="single" w:color="000000" w:sz="4" w:space="0"/>
              <w:left w:val="nil"/>
              <w:bottom w:val="single" w:color="000000" w:sz="4" w:space="0"/>
              <w:right w:val="single" w:color="000000" w:sz="4" w:space="0"/>
            </w:tcBorders>
            <w:noWrap/>
            <w:vAlign w:val="center"/>
          </w:tcPr>
          <w:p w14:paraId="16C3C731">
            <w:pPr>
              <w:widowControl/>
              <w:jc w:val="center"/>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个</w:t>
            </w:r>
          </w:p>
        </w:tc>
        <w:tc>
          <w:tcPr>
            <w:tcW w:w="1052" w:type="dxa"/>
            <w:tcBorders>
              <w:top w:val="single" w:color="000000" w:sz="4" w:space="0"/>
              <w:left w:val="nil"/>
              <w:bottom w:val="single" w:color="000000" w:sz="4" w:space="0"/>
              <w:right w:val="single" w:color="000000" w:sz="4" w:space="0"/>
            </w:tcBorders>
            <w:noWrap/>
            <w:vAlign w:val="center"/>
          </w:tcPr>
          <w:p w14:paraId="50C221DC">
            <w:pPr>
              <w:widowControl/>
              <w:jc w:val="center"/>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573</w:t>
            </w:r>
          </w:p>
        </w:tc>
      </w:tr>
      <w:tr w14:paraId="6CBB1EDE">
        <w:tblPrEx>
          <w:tblCellMar>
            <w:top w:w="0" w:type="dxa"/>
            <w:left w:w="108" w:type="dxa"/>
            <w:bottom w:w="0" w:type="dxa"/>
            <w:right w:w="108" w:type="dxa"/>
          </w:tblCellMar>
        </w:tblPrEx>
        <w:trPr>
          <w:trHeight w:val="500" w:hRule="atLeast"/>
          <w:jc w:val="center"/>
        </w:trPr>
        <w:tc>
          <w:tcPr>
            <w:tcW w:w="9568" w:type="dxa"/>
            <w:gridSpan w:val="5"/>
            <w:tcBorders>
              <w:top w:val="single" w:color="000000" w:sz="4" w:space="0"/>
              <w:left w:val="single" w:color="000000" w:sz="4" w:space="0"/>
              <w:bottom w:val="single" w:color="000000" w:sz="4" w:space="0"/>
              <w:right w:val="single" w:color="000000" w:sz="4" w:space="0"/>
            </w:tcBorders>
            <w:noWrap/>
            <w:vAlign w:val="center"/>
          </w:tcPr>
          <w:tbl>
            <w:tblPr>
              <w:tblStyle w:val="5"/>
              <w:tblW w:w="9568" w:type="dxa"/>
              <w:jc w:val="center"/>
              <w:tblLayout w:type="fixed"/>
              <w:tblCellMar>
                <w:top w:w="0" w:type="dxa"/>
                <w:left w:w="108" w:type="dxa"/>
                <w:bottom w:w="0" w:type="dxa"/>
                <w:right w:w="108" w:type="dxa"/>
              </w:tblCellMar>
            </w:tblPr>
            <w:tblGrid>
              <w:gridCol w:w="658"/>
              <w:gridCol w:w="1350"/>
              <w:gridCol w:w="5657"/>
              <w:gridCol w:w="851"/>
              <w:gridCol w:w="1052"/>
            </w:tblGrid>
            <w:tr w14:paraId="3CDAE3B0">
              <w:tblPrEx>
                <w:tblCellMar>
                  <w:top w:w="0" w:type="dxa"/>
                  <w:left w:w="108" w:type="dxa"/>
                  <w:bottom w:w="0" w:type="dxa"/>
                  <w:right w:w="108" w:type="dxa"/>
                </w:tblCellMar>
              </w:tblPrEx>
              <w:trPr>
                <w:trHeight w:val="500" w:hRule="atLeast"/>
                <w:jc w:val="center"/>
              </w:trPr>
              <w:tc>
                <w:tcPr>
                  <w:tcW w:w="658" w:type="dxa"/>
                  <w:tcBorders>
                    <w:top w:val="single" w:color="000000" w:sz="4" w:space="0"/>
                    <w:left w:val="single" w:color="000000" w:sz="4" w:space="0"/>
                    <w:bottom w:val="single" w:color="000000" w:sz="4" w:space="0"/>
                    <w:right w:val="single" w:color="000000" w:sz="4" w:space="0"/>
                  </w:tcBorders>
                  <w:noWrap/>
                  <w:vAlign w:val="center"/>
                </w:tcPr>
                <w:p w14:paraId="765F5A2C">
                  <w:pPr>
                    <w:widowControl/>
                    <w:jc w:val="center"/>
                    <w:textAlignment w:val="center"/>
                    <w:rPr>
                      <w:rFonts w:ascii="Calibri" w:hAnsi="Calibri" w:eastAsia="宋体" w:cs="Calibri"/>
                      <w:sz w:val="24"/>
                      <w:szCs w:val="24"/>
                    </w:rPr>
                  </w:pPr>
                  <w:r>
                    <w:rPr>
                      <w:rFonts w:hint="eastAsia" w:ascii="Calibri" w:hAnsi="Calibri" w:eastAsia="宋体" w:cs="Calibri"/>
                      <w:kern w:val="0"/>
                      <w:sz w:val="24"/>
                      <w:szCs w:val="24"/>
                    </w:rPr>
                    <w:t>2</w:t>
                  </w:r>
                </w:p>
              </w:tc>
              <w:tc>
                <w:tcPr>
                  <w:tcW w:w="1350" w:type="dxa"/>
                  <w:tcBorders>
                    <w:top w:val="single" w:color="000000" w:sz="4" w:space="0"/>
                    <w:left w:val="nil"/>
                    <w:bottom w:val="single" w:color="000000" w:sz="4" w:space="0"/>
                    <w:right w:val="single" w:color="000000" w:sz="4" w:space="0"/>
                  </w:tcBorders>
                  <w:noWrap/>
                  <w:vAlign w:val="center"/>
                </w:tcPr>
                <w:p w14:paraId="29CDADCD">
                  <w:pPr>
                    <w:widowControl/>
                    <w:jc w:val="center"/>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手提式干粉灭火器（</w:t>
                  </w:r>
                  <w:r>
                    <w:rPr>
                      <w:rFonts w:hint="eastAsia" w:ascii="宋体" w:hAnsi="宋体" w:eastAsia="宋体" w:cs="Times New Roman"/>
                      <w:kern w:val="0"/>
                      <w:sz w:val="22"/>
                    </w:rPr>
                    <w:t>8公斤</w:t>
                  </w:r>
                  <w:r>
                    <w:rPr>
                      <w:rFonts w:hint="eastAsia" w:ascii="宋体" w:hAnsi="宋体" w:eastAsia="宋体" w:cs="Times New Roman"/>
                      <w:kern w:val="0"/>
                      <w:sz w:val="24"/>
                      <w:szCs w:val="24"/>
                    </w:rPr>
                    <w:t>MF/ABCE8）</w:t>
                  </w:r>
                </w:p>
              </w:tc>
              <w:tc>
                <w:tcPr>
                  <w:tcW w:w="5657" w:type="dxa"/>
                  <w:tcBorders>
                    <w:top w:val="single" w:color="000000" w:sz="4" w:space="0"/>
                    <w:left w:val="nil"/>
                    <w:bottom w:val="single" w:color="000000" w:sz="4" w:space="0"/>
                    <w:right w:val="single" w:color="000000" w:sz="4" w:space="0"/>
                  </w:tcBorders>
                  <w:noWrap/>
                  <w:vAlign w:val="center"/>
                </w:tcPr>
                <w:p w14:paraId="7EF0FD54">
                  <w:pPr>
                    <w:widowControl/>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1、灭火剂的种类：干粉灭火剂</w:t>
                  </w:r>
                </w:p>
                <w:p w14:paraId="1040AD1F">
                  <w:pPr>
                    <w:widowControl/>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ABC-NH4 H2PO4 (75%)+(NH4)2SO4(15%)</w:t>
                  </w:r>
                  <w:r>
                    <w:rPr>
                      <w:rFonts w:hint="eastAsia" w:ascii="宋体" w:hAnsi="宋体" w:eastAsia="宋体" w:cs="Times New Roman"/>
                      <w:kern w:val="0"/>
                      <w:sz w:val="24"/>
                      <w:szCs w:val="24"/>
                    </w:rPr>
                    <w:br w:type="textWrapping"/>
                  </w:r>
                  <w:r>
                    <w:rPr>
                      <w:rFonts w:hint="eastAsia" w:ascii="宋体" w:hAnsi="宋体" w:eastAsia="宋体" w:cs="Times New Roman"/>
                      <w:kern w:val="0"/>
                      <w:sz w:val="24"/>
                      <w:szCs w:val="24"/>
                    </w:rPr>
                    <w:t>2、产品认证实施规则：CNCA -C18-03:2014</w:t>
                  </w:r>
                </w:p>
                <w:p w14:paraId="615F2322">
                  <w:pPr>
                    <w:widowControl/>
                    <w:numPr>
                      <w:ilvl w:val="0"/>
                      <w:numId w:val="1"/>
                    </w:numPr>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产品认证实施细则： CCCF-MHSB -06</w:t>
                  </w:r>
                </w:p>
                <w:p w14:paraId="1972C06F">
                  <w:pPr>
                    <w:widowControl/>
                    <w:numPr>
                      <w:ilvl w:val="0"/>
                      <w:numId w:val="1"/>
                    </w:numPr>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4产品标准：GB 4351-2023</w:t>
                  </w:r>
                </w:p>
                <w:p w14:paraId="7119052B">
                  <w:pPr>
                    <w:widowControl/>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5、灭火器灭火级别：4A 144B C E</w:t>
                  </w:r>
                </w:p>
                <w:p w14:paraId="2F47976C">
                  <w:pPr>
                    <w:widowControl/>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6、灭火器使用温度范围：-20~+60℃</w:t>
                  </w:r>
                </w:p>
                <w:p w14:paraId="7F82025A">
                  <w:pPr>
                    <w:widowControl/>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7、灭火器驱动气体名称和数量或压力：氮气、≥99%、1.2MPa(20℃)</w:t>
                  </w:r>
                </w:p>
                <w:p w14:paraId="4693F6C0">
                  <w:pPr>
                    <w:widowControl/>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8、水压试验压力：2.1MPa</w:t>
                  </w:r>
                </w:p>
                <w:p w14:paraId="4C8A466B">
                  <w:pPr>
                    <w:widowControl/>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9、 电绝缘性：5KV</w:t>
                  </w:r>
                </w:p>
                <w:p w14:paraId="3C428255">
                  <w:pPr>
                    <w:widowControl/>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10、最小有效喷射时间：≥22±3s</w:t>
                  </w:r>
                </w:p>
                <w:p w14:paraId="0A5B26E1">
                  <w:pPr>
                    <w:widowControl/>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11、最小喷射距离：≥4m</w:t>
                  </w:r>
                </w:p>
                <w:p w14:paraId="4B0AA761">
                  <w:pPr>
                    <w:widowControl/>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12、灭火剂净重量：8KG</w:t>
                  </w:r>
                </w:p>
                <w:p w14:paraId="0817DA1E">
                  <w:pPr>
                    <w:widowControl/>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13、筒体壁厚：≥1.25mm</w:t>
                  </w:r>
                  <w:r>
                    <w:rPr>
                      <w:rFonts w:hint="eastAsia" w:ascii="宋体" w:hAnsi="宋体" w:eastAsia="宋体" w:cs="Times New Roman"/>
                      <w:kern w:val="0"/>
                      <w:sz w:val="24"/>
                      <w:szCs w:val="24"/>
                    </w:rPr>
                    <w:tab/>
                  </w:r>
                  <w:r>
                    <w:rPr>
                      <w:rFonts w:hint="eastAsia" w:ascii="宋体" w:hAnsi="宋体" w:eastAsia="宋体" w:cs="Times New Roman"/>
                      <w:kern w:val="0"/>
                      <w:sz w:val="24"/>
                      <w:szCs w:val="24"/>
                    </w:rPr>
                    <w:t>碳钢</w:t>
                  </w:r>
                </w:p>
                <w:p w14:paraId="6F4BA163">
                  <w:pPr>
                    <w:widowControl/>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14、灭火器高度≤61cm</w:t>
                  </w:r>
                </w:p>
                <w:p w14:paraId="6F9DDBAA">
                  <w:pPr>
                    <w:widowControl/>
                    <w:spacing w:line="300" w:lineRule="exact"/>
                    <w:jc w:val="left"/>
                    <w:rPr>
                      <w:rFonts w:ascii="Calibri" w:hAnsi="Calibri" w:eastAsia="宋体" w:cs="Times New Roman"/>
                      <w:szCs w:val="21"/>
                    </w:rPr>
                  </w:pPr>
                  <w:r>
                    <w:rPr>
                      <w:rFonts w:hint="eastAsia" w:ascii="宋体" w:hAnsi="宋体" w:eastAsia="宋体" w:cs="Times New Roman"/>
                      <w:b/>
                      <w:bCs/>
                      <w:szCs w:val="21"/>
                    </w:rPr>
                    <w:t>★瓶身须有：①3C认证标志，②按消防规定贴S码A签、B签、二维码可直接扫一扫进入官网查询真伪，③出厂合格证明。</w:t>
                  </w:r>
                </w:p>
              </w:tc>
              <w:tc>
                <w:tcPr>
                  <w:tcW w:w="851" w:type="dxa"/>
                  <w:tcBorders>
                    <w:top w:val="single" w:color="000000" w:sz="4" w:space="0"/>
                    <w:left w:val="nil"/>
                    <w:bottom w:val="single" w:color="000000" w:sz="4" w:space="0"/>
                    <w:right w:val="single" w:color="000000" w:sz="4" w:space="0"/>
                  </w:tcBorders>
                  <w:noWrap/>
                  <w:vAlign w:val="center"/>
                </w:tcPr>
                <w:p w14:paraId="5DCE6889">
                  <w:pPr>
                    <w:widowControl/>
                    <w:jc w:val="center"/>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个</w:t>
                  </w:r>
                </w:p>
              </w:tc>
              <w:tc>
                <w:tcPr>
                  <w:tcW w:w="1052" w:type="dxa"/>
                  <w:tcBorders>
                    <w:top w:val="single" w:color="000000" w:sz="4" w:space="0"/>
                    <w:left w:val="nil"/>
                    <w:bottom w:val="single" w:color="000000" w:sz="4" w:space="0"/>
                    <w:right w:val="single" w:color="000000" w:sz="4" w:space="0"/>
                  </w:tcBorders>
                  <w:noWrap/>
                  <w:vAlign w:val="center"/>
                </w:tcPr>
                <w:p w14:paraId="0A8FBF94">
                  <w:pPr>
                    <w:widowControl/>
                    <w:jc w:val="center"/>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4</w:t>
                  </w:r>
                </w:p>
              </w:tc>
            </w:tr>
          </w:tbl>
          <w:p w14:paraId="452E2D30">
            <w:pPr>
              <w:widowControl/>
              <w:spacing w:line="400" w:lineRule="exact"/>
              <w:jc w:val="left"/>
              <w:rPr>
                <w:rFonts w:ascii="宋体" w:hAnsi="宋体" w:eastAsia="宋体" w:cs="Times New Roman"/>
                <w:b/>
                <w:bCs/>
                <w:sz w:val="24"/>
                <w:szCs w:val="24"/>
              </w:rPr>
            </w:pPr>
            <w:r>
              <w:rPr>
                <w:rFonts w:hint="eastAsia" w:ascii="宋体" w:hAnsi="宋体" w:eastAsia="宋体" w:cs="Times New Roman"/>
                <w:b/>
                <w:bCs/>
                <w:sz w:val="24"/>
                <w:szCs w:val="24"/>
              </w:rPr>
              <w:t>备注：</w:t>
            </w:r>
          </w:p>
          <w:p w14:paraId="5D32B84C">
            <w:pPr>
              <w:widowControl/>
              <w:spacing w:line="400" w:lineRule="exact"/>
              <w:jc w:val="left"/>
              <w:rPr>
                <w:rFonts w:ascii="宋体" w:hAnsi="宋体" w:eastAsia="宋体" w:cs="Times New Roman"/>
                <w:b/>
                <w:bCs/>
                <w:sz w:val="24"/>
                <w:szCs w:val="24"/>
              </w:rPr>
            </w:pPr>
            <w:r>
              <w:rPr>
                <w:rFonts w:hint="eastAsia" w:ascii="宋体" w:hAnsi="宋体" w:eastAsia="宋体" w:cs="Times New Roman"/>
                <w:b/>
                <w:bCs/>
                <w:sz w:val="24"/>
                <w:szCs w:val="24"/>
              </w:rPr>
              <w:t xml:space="preserve">1.上述采购要求为最低要求，不得负偏离，否则视为无效报价； </w:t>
            </w:r>
          </w:p>
          <w:p w14:paraId="5B88522C">
            <w:pPr>
              <w:widowControl/>
              <w:spacing w:line="400" w:lineRule="exact"/>
              <w:jc w:val="left"/>
              <w:rPr>
                <w:rFonts w:ascii="宋体" w:hAnsi="宋体" w:eastAsia="宋体" w:cs="Times New Roman"/>
                <w:b/>
                <w:bCs/>
                <w:sz w:val="24"/>
                <w:szCs w:val="24"/>
              </w:rPr>
            </w:pPr>
            <w:r>
              <w:rPr>
                <w:rFonts w:hint="eastAsia" w:ascii="宋体" w:hAnsi="宋体" w:eastAsia="宋体" w:cs="Times New Roman"/>
                <w:b/>
                <w:bCs/>
                <w:spacing w:val="-6"/>
                <w:sz w:val="24"/>
                <w:szCs w:val="24"/>
              </w:rPr>
              <w:t>2.采购标准要求以采购要求、相关国家标准为准，在标准和采购要求不一致时，按要求高的标准执行；</w:t>
            </w:r>
            <w:r>
              <w:rPr>
                <w:rFonts w:hint="eastAsia" w:ascii="宋体" w:hAnsi="宋体" w:eastAsia="宋体" w:cs="Times New Roman"/>
                <w:b/>
                <w:bCs/>
                <w:sz w:val="24"/>
                <w:szCs w:val="24"/>
              </w:rPr>
              <w:t xml:space="preserve"> </w:t>
            </w:r>
          </w:p>
          <w:p w14:paraId="183BAEF0">
            <w:pPr>
              <w:widowControl/>
              <w:spacing w:line="400" w:lineRule="exact"/>
              <w:jc w:val="left"/>
              <w:rPr>
                <w:rFonts w:ascii="宋体" w:hAnsi="宋体" w:eastAsia="宋体" w:cs="Times New Roman"/>
                <w:b/>
                <w:bCs/>
                <w:sz w:val="24"/>
                <w:szCs w:val="24"/>
              </w:rPr>
            </w:pPr>
            <w:r>
              <w:rPr>
                <w:rFonts w:hint="eastAsia" w:ascii="宋体" w:hAnsi="宋体" w:eastAsia="宋体" w:cs="Times New Roman"/>
                <w:b/>
                <w:bCs/>
                <w:sz w:val="24"/>
                <w:szCs w:val="24"/>
              </w:rPr>
              <w:t xml:space="preserve">3.所有货物都必须是全新正品，所有货物及包装、标签、标识符合国家相关规定要求； </w:t>
            </w:r>
          </w:p>
          <w:p w14:paraId="4711D24B">
            <w:pPr>
              <w:widowControl/>
              <w:spacing w:line="400" w:lineRule="exact"/>
              <w:jc w:val="left"/>
              <w:rPr>
                <w:rFonts w:ascii="宋体" w:hAnsi="宋体" w:eastAsia="宋体" w:cs="Times New Roman"/>
                <w:b/>
                <w:bCs/>
                <w:sz w:val="24"/>
                <w:szCs w:val="24"/>
              </w:rPr>
            </w:pPr>
            <w:r>
              <w:rPr>
                <w:rFonts w:hint="eastAsia" w:ascii="宋体" w:hAnsi="宋体" w:eastAsia="宋体" w:cs="Times New Roman"/>
                <w:b/>
                <w:bCs/>
                <w:sz w:val="24"/>
                <w:szCs w:val="24"/>
              </w:rPr>
              <w:t>4.本项目将由采购人组织抽样检验，被破坏的样品由成交供应商无偿重新提供。如检测不合格，视作项目整体验收不合格，将按相关规定进行处理。</w:t>
            </w:r>
          </w:p>
          <w:p w14:paraId="2AD6D81A">
            <w:pPr>
              <w:widowControl/>
              <w:spacing w:line="400" w:lineRule="exact"/>
              <w:jc w:val="left"/>
              <w:rPr>
                <w:rFonts w:ascii="宋体" w:hAnsi="宋体" w:eastAsia="宋体" w:cs="Times New Roman"/>
                <w:b/>
                <w:bCs/>
                <w:sz w:val="24"/>
                <w:szCs w:val="24"/>
              </w:rPr>
            </w:pPr>
            <w:r>
              <w:rPr>
                <w:rFonts w:hint="eastAsia" w:ascii="宋体" w:hAnsi="宋体" w:eastAsia="宋体" w:cs="Times New Roman"/>
                <w:b/>
                <w:bCs/>
                <w:sz w:val="24"/>
                <w:szCs w:val="24"/>
              </w:rPr>
              <w:t>5.报价供应商应实地考察现场，综合考虑生产周期等各种因素后报价。</w:t>
            </w:r>
          </w:p>
          <w:p w14:paraId="2359B0C0">
            <w:pPr>
              <w:widowControl/>
              <w:spacing w:line="400" w:lineRule="exact"/>
              <w:jc w:val="left"/>
              <w:textAlignment w:val="center"/>
              <w:rPr>
                <w:rFonts w:ascii="宋体" w:hAnsi="宋体" w:eastAsia="宋体" w:cs="Times New Roman"/>
                <w:b/>
                <w:bCs/>
                <w:szCs w:val="21"/>
              </w:rPr>
            </w:pPr>
            <w:r>
              <w:rPr>
                <w:rFonts w:hint="eastAsia" w:ascii="宋体" w:hAnsi="宋体" w:eastAsia="宋体" w:cs="Times New Roman"/>
                <w:b/>
                <w:bCs/>
                <w:sz w:val="24"/>
                <w:szCs w:val="24"/>
              </w:rPr>
              <w:t>6.成交供应商须根据使用单位指定地点、时间安装到位（原灭火器回收至指定地点）。</w:t>
            </w:r>
          </w:p>
        </w:tc>
      </w:tr>
    </w:tbl>
    <w:p w14:paraId="22BD1D54">
      <w:pPr>
        <w:widowControl/>
        <w:spacing w:line="440" w:lineRule="exact"/>
        <w:ind w:firstLine="602" w:firstLineChars="200"/>
        <w:rPr>
          <w:rFonts w:ascii="黑体" w:hAnsi="黑体" w:eastAsia="黑体" w:cs="Times New Roman"/>
          <w:b/>
          <w:bCs/>
          <w:kern w:val="0"/>
          <w:sz w:val="30"/>
          <w:szCs w:val="30"/>
        </w:rPr>
      </w:pPr>
      <w:r>
        <w:rPr>
          <w:rFonts w:hint="eastAsia" w:ascii="黑体" w:hAnsi="黑体" w:eastAsia="黑体" w:cs="Times New Roman"/>
          <w:b/>
          <w:bCs/>
          <w:kern w:val="0"/>
          <w:sz w:val="30"/>
          <w:szCs w:val="30"/>
        </w:rPr>
        <w:t>二、本项目的总价最高限价为人民币肆万捌仟零柒元整（48007.00元），总报价超过总价最高限价的为无效报价。</w:t>
      </w:r>
    </w:p>
    <w:p w14:paraId="66502737">
      <w:pPr>
        <w:widowControl/>
        <w:spacing w:line="440" w:lineRule="exact"/>
        <w:ind w:firstLine="602" w:firstLineChars="200"/>
        <w:rPr>
          <w:rFonts w:ascii="黑体" w:hAnsi="黑体" w:eastAsia="黑体" w:cs="Times New Roman"/>
          <w:b/>
          <w:bCs/>
          <w:kern w:val="0"/>
          <w:sz w:val="30"/>
          <w:szCs w:val="30"/>
        </w:rPr>
      </w:pPr>
      <w:r>
        <w:rPr>
          <w:rFonts w:hint="eastAsia" w:ascii="黑体" w:hAnsi="黑体" w:eastAsia="黑体" w:cs="Times New Roman"/>
          <w:b/>
          <w:bCs/>
          <w:kern w:val="0"/>
          <w:sz w:val="30"/>
          <w:szCs w:val="30"/>
        </w:rPr>
        <w:t>三、供应商资格要求：</w:t>
      </w:r>
    </w:p>
    <w:p w14:paraId="7EDB549E">
      <w:pPr>
        <w:widowControl/>
        <w:autoSpaceDE w:val="0"/>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1.符合《中华人民共和国政府采购法》第二十二条的规定；</w:t>
      </w:r>
    </w:p>
    <w:p w14:paraId="13C07D1A">
      <w:pPr>
        <w:widowControl/>
        <w:autoSpaceDE w:val="0"/>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2.未被“信用中国”网站（www.creditchina.gov.cn）列入失信被执行人、重大税收违法案件当事人名单、政府采购严重失信行为记录名单；</w:t>
      </w:r>
    </w:p>
    <w:p w14:paraId="748A646A">
      <w:pPr>
        <w:widowControl/>
        <w:autoSpaceDE w:val="0"/>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3.投标供应商为具有合法经营资格并能够承担完全民事责任的独立法人或其他组织或自然人；有能力提供本次采购项目所要求的内容和服务；</w:t>
      </w:r>
    </w:p>
    <w:p w14:paraId="245DAED5">
      <w:pPr>
        <w:widowControl/>
        <w:autoSpaceDE w:val="0"/>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4.投标供应商须具有较强售后服务能力及法律法规规定应具备的其他条件；投标供应商应为所投消防产品（灭火器）的生产厂家或经销商，经销商须具有有效的厂家授权销售证明；</w:t>
      </w:r>
    </w:p>
    <w:p w14:paraId="3B1C6149">
      <w:pPr>
        <w:widowControl/>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5.投标供应商须具有南通地区的本地化服务能力（如成交供应商为非南通本地注册公司，须提供南通本地合作单位信息和合作协议）；</w:t>
      </w:r>
    </w:p>
    <w:p w14:paraId="575212D0">
      <w:pPr>
        <w:widowControl/>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6.报价供应商具有有效的营业执照；</w:t>
      </w:r>
    </w:p>
    <w:p w14:paraId="7951BDA1">
      <w:pPr>
        <w:widowControl/>
        <w:spacing w:line="500" w:lineRule="exact"/>
        <w:ind w:firstLine="560" w:firstLineChars="200"/>
        <w:rPr>
          <w:rFonts w:ascii="仿宋_GB2312" w:hAnsi="宋体" w:eastAsia="仿宋_GB2312" w:cs="Times New Roman"/>
          <w:sz w:val="28"/>
          <w:szCs w:val="28"/>
        </w:rPr>
      </w:pPr>
      <w:r>
        <w:rPr>
          <w:rFonts w:hint="eastAsia" w:ascii="仿宋" w:hAnsi="仿宋" w:eastAsia="仿宋" w:cs="Times New Roman"/>
          <w:sz w:val="28"/>
          <w:szCs w:val="28"/>
        </w:rPr>
        <w:t>7.本项目</w:t>
      </w:r>
      <w:r>
        <w:rPr>
          <w:rFonts w:hint="eastAsia" w:ascii="仿宋_GB2312" w:hAnsi="宋体" w:eastAsia="仿宋_GB2312" w:cs="Times New Roman"/>
          <w:sz w:val="28"/>
          <w:szCs w:val="28"/>
        </w:rPr>
        <w:t>不接受联合体投标。</w:t>
      </w:r>
    </w:p>
    <w:p w14:paraId="1C932294">
      <w:pPr>
        <w:widowControl/>
        <w:spacing w:line="500" w:lineRule="exact"/>
        <w:ind w:firstLine="562" w:firstLineChars="200"/>
        <w:rPr>
          <w:rFonts w:ascii="黑体" w:hAnsi="黑体" w:eastAsia="黑体" w:cs="Times New Roman"/>
          <w:b/>
          <w:kern w:val="0"/>
          <w:sz w:val="28"/>
          <w:szCs w:val="28"/>
        </w:rPr>
      </w:pPr>
      <w:r>
        <w:rPr>
          <w:rFonts w:hint="eastAsia" w:ascii="黑体" w:hAnsi="黑体" w:eastAsia="黑体" w:cs="Times New Roman"/>
          <w:b/>
          <w:kern w:val="0"/>
          <w:sz w:val="28"/>
          <w:szCs w:val="28"/>
        </w:rPr>
        <w:t>四、询价采购报价注意事项：</w:t>
      </w:r>
    </w:p>
    <w:p w14:paraId="2FAC96F6">
      <w:pPr>
        <w:widowControl/>
        <w:spacing w:line="50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sz w:val="28"/>
          <w:szCs w:val="28"/>
        </w:rPr>
        <w:t>1、供应商获取询价公告方法：各供应商可自行从网络下载(下载网址:启东市汇龙中学官网（http://www.qdshlzx.com.cn/）。</w:t>
      </w:r>
    </w:p>
    <w:p w14:paraId="5D16A2F8">
      <w:pPr>
        <w:spacing w:line="500" w:lineRule="exact"/>
        <w:ind w:firstLine="560" w:firstLineChars="20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2、报价供应商应按照本采购文件的要求编制报价文件，报价文件应对本项目提出的要求和条件作出实质性响应。否则，均被视为无效报价文件。报价包含本项目所有涉及的全部费用，如材料费、配件费、人工费、货物运输、装卸、搬运（二次搬运、原灭火器回收至采购人指定地点）、分发、安装、调试、培训、运输保险、税金、售后质保服务等一切配套费用。除非因特殊原因并经买卖双方协商同意，成交供应商不得再要求追加任何费用。同时，除非合同条款中另有规定，否则中标人的成交价在合同实施期间不因市场变化因素而变动。成交供应商在供货期间不得减少供货项目，不得降低货物质量。</w:t>
      </w:r>
    </w:p>
    <w:p w14:paraId="0691672C">
      <w:pPr>
        <w:spacing w:line="500" w:lineRule="exact"/>
        <w:ind w:firstLine="560" w:firstLineChars="20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3、对采购人提供的货物需求，供应商如有疑问，应按本询价公告中规定的期限内提出，否则视为默认，货物需求不再作任何修改，成交供应商不得再提任何调整要求。对完成本询价公告中的全部货物、服务使之成为一个完整系统的其余配套材料项目、措施项目等，均由供应商根据现场踏勘情况自行算量后自行计入投标报价中，成交后采购人对该部分不作任何调整。</w:t>
      </w:r>
    </w:p>
    <w:p w14:paraId="64208BB7">
      <w:pPr>
        <w:spacing w:line="500" w:lineRule="exact"/>
        <w:ind w:firstLine="560" w:firstLineChars="20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有关技术及需求问题，请与采购单位联系。</w:t>
      </w:r>
    </w:p>
    <w:p w14:paraId="50C5379F">
      <w:pPr>
        <w:spacing w:line="500" w:lineRule="exact"/>
        <w:ind w:firstLine="560" w:firstLineChars="200"/>
        <w:rPr>
          <w:rFonts w:ascii="仿宋" w:hAnsi="仿宋" w:eastAsia="仿宋" w:cs="Times New Roman"/>
          <w:sz w:val="28"/>
          <w:szCs w:val="28"/>
          <w:shd w:val="clear" w:color="auto" w:fill="FFFFFF"/>
        </w:rPr>
      </w:pPr>
      <w:r>
        <w:rPr>
          <w:rFonts w:hint="eastAsia" w:ascii="宋体" w:hAnsi="宋体" w:eastAsia="宋体" w:cs="宋体"/>
          <w:sz w:val="28"/>
          <w:szCs w:val="28"/>
          <w:shd w:val="clear" w:color="auto" w:fill="FFFFFF"/>
        </w:rPr>
        <w:t>  </w:t>
      </w:r>
      <w:r>
        <w:rPr>
          <w:rFonts w:hint="eastAsia" w:ascii="仿宋" w:hAnsi="仿宋" w:eastAsia="仿宋" w:cs="Times New Roman"/>
          <w:sz w:val="28"/>
          <w:szCs w:val="28"/>
          <w:shd w:val="clear" w:color="auto" w:fill="FFFFFF"/>
        </w:rPr>
        <w:t xml:space="preserve">采购单位：启东市汇龙中学 </w:t>
      </w:r>
      <w:r>
        <w:rPr>
          <w:rFonts w:hint="eastAsia" w:ascii="宋体" w:hAnsi="宋体" w:eastAsia="宋体" w:cs="宋体"/>
          <w:sz w:val="28"/>
          <w:szCs w:val="28"/>
          <w:shd w:val="clear" w:color="auto" w:fill="FFFFFF"/>
        </w:rPr>
        <w:t> </w:t>
      </w:r>
    </w:p>
    <w:p w14:paraId="121C10A3">
      <w:pPr>
        <w:spacing w:line="500" w:lineRule="exact"/>
        <w:ind w:firstLine="560" w:firstLineChars="200"/>
        <w:rPr>
          <w:rFonts w:ascii="仿宋" w:hAnsi="仿宋" w:eastAsia="仿宋" w:cs="Times New Roman"/>
          <w:sz w:val="28"/>
          <w:szCs w:val="28"/>
          <w:shd w:val="clear" w:color="auto" w:fill="FFFFFF"/>
        </w:rPr>
      </w:pPr>
      <w:r>
        <w:rPr>
          <w:rFonts w:hint="eastAsia" w:ascii="宋体" w:hAnsi="宋体" w:eastAsia="宋体" w:cs="宋体"/>
          <w:sz w:val="28"/>
          <w:szCs w:val="28"/>
          <w:shd w:val="clear" w:color="auto" w:fill="FFFFFF"/>
        </w:rPr>
        <w:t>  </w:t>
      </w:r>
      <w:r>
        <w:rPr>
          <w:rFonts w:hint="eastAsia" w:ascii="仿宋" w:hAnsi="仿宋" w:eastAsia="仿宋" w:cs="Times New Roman"/>
          <w:sz w:val="28"/>
          <w:szCs w:val="28"/>
          <w:shd w:val="clear" w:color="auto" w:fill="FFFFFF"/>
        </w:rPr>
        <w:t>联系人：黄大生</w:t>
      </w:r>
      <w:r>
        <w:rPr>
          <w:rFonts w:hint="eastAsia" w:ascii="宋体" w:hAnsi="宋体" w:eastAsia="宋体" w:cs="宋体"/>
          <w:sz w:val="28"/>
          <w:szCs w:val="28"/>
          <w:shd w:val="clear" w:color="auto" w:fill="FFFFFF"/>
        </w:rPr>
        <w:t>       </w:t>
      </w:r>
      <w:r>
        <w:rPr>
          <w:rFonts w:hint="eastAsia" w:ascii="仿宋" w:hAnsi="仿宋" w:eastAsia="仿宋" w:cs="Times New Roman"/>
          <w:sz w:val="28"/>
          <w:szCs w:val="28"/>
          <w:shd w:val="clear" w:color="auto" w:fill="FFFFFF"/>
        </w:rPr>
        <w:t>联系电话：13806285318</w:t>
      </w:r>
    </w:p>
    <w:p w14:paraId="4B05934C">
      <w:pPr>
        <w:spacing w:line="500" w:lineRule="exact"/>
        <w:ind w:firstLine="562" w:firstLineChars="200"/>
        <w:rPr>
          <w:rFonts w:ascii="仿宋" w:hAnsi="仿宋" w:eastAsia="仿宋" w:cs="Times New Roman"/>
          <w:b/>
          <w:sz w:val="28"/>
          <w:szCs w:val="28"/>
          <w:shd w:val="clear" w:color="auto" w:fill="FFFFFF"/>
        </w:rPr>
      </w:pPr>
      <w:r>
        <w:rPr>
          <w:rFonts w:hint="eastAsia" w:ascii="仿宋" w:hAnsi="仿宋" w:eastAsia="仿宋" w:cs="Times New Roman"/>
          <w:b/>
          <w:sz w:val="28"/>
          <w:szCs w:val="28"/>
          <w:shd w:val="clear" w:color="auto" w:fill="FFFFFF"/>
        </w:rPr>
        <w:t>4.报价文件构成</w:t>
      </w:r>
    </w:p>
    <w:p w14:paraId="71FAA8BC">
      <w:pPr>
        <w:widowControl/>
        <w:spacing w:line="420" w:lineRule="exact"/>
        <w:ind w:firstLine="560" w:firstLineChars="200"/>
        <w:rPr>
          <w:rFonts w:ascii="仿宋" w:hAnsi="仿宋" w:eastAsia="仿宋" w:cs="Times New Roman"/>
          <w:kern w:val="0"/>
          <w:sz w:val="28"/>
          <w:szCs w:val="28"/>
          <w:shd w:val="clear" w:color="auto" w:fill="FFFFFF"/>
        </w:rPr>
      </w:pPr>
      <w:r>
        <w:rPr>
          <w:rFonts w:hint="eastAsia" w:ascii="仿宋" w:hAnsi="仿宋" w:eastAsia="仿宋" w:cs="Times New Roman"/>
          <w:kern w:val="0"/>
          <w:sz w:val="28"/>
          <w:szCs w:val="28"/>
          <w:shd w:val="clear" w:color="auto" w:fill="FFFFFF"/>
        </w:rPr>
        <w:t>（1）</w:t>
      </w:r>
      <w:r>
        <w:rPr>
          <w:rFonts w:hint="eastAsia" w:ascii="仿宋" w:hAnsi="仿宋" w:eastAsia="仿宋" w:cs="Times New Roman"/>
          <w:kern w:val="0"/>
          <w:sz w:val="28"/>
          <w:szCs w:val="28"/>
          <w:u w:val="single"/>
          <w:shd w:val="clear" w:color="auto" w:fill="FFFFFF"/>
        </w:rPr>
        <w:t>报价承诺书</w:t>
      </w:r>
      <w:r>
        <w:rPr>
          <w:rFonts w:hint="eastAsia" w:ascii="仿宋" w:hAnsi="仿宋" w:eastAsia="仿宋" w:cs="Times New Roman"/>
          <w:kern w:val="0"/>
          <w:sz w:val="28"/>
          <w:szCs w:val="28"/>
          <w:shd w:val="clear" w:color="auto" w:fill="FFFFFF"/>
        </w:rPr>
        <w:t>（按照附件一格式填写）；</w:t>
      </w:r>
    </w:p>
    <w:p w14:paraId="4DB10C43">
      <w:pPr>
        <w:widowControl/>
        <w:spacing w:line="420" w:lineRule="exact"/>
        <w:ind w:firstLine="560" w:firstLineChars="200"/>
        <w:rPr>
          <w:rFonts w:ascii="仿宋" w:hAnsi="仿宋" w:eastAsia="仿宋" w:cs="Times New Roman"/>
          <w:kern w:val="0"/>
          <w:sz w:val="28"/>
          <w:szCs w:val="28"/>
          <w:shd w:val="clear" w:color="auto" w:fill="FFFFFF"/>
        </w:rPr>
      </w:pPr>
      <w:r>
        <w:rPr>
          <w:rFonts w:hint="eastAsia" w:ascii="仿宋" w:hAnsi="仿宋" w:eastAsia="仿宋" w:cs="Times New Roman"/>
          <w:kern w:val="0"/>
          <w:sz w:val="28"/>
          <w:szCs w:val="28"/>
          <w:shd w:val="clear" w:color="auto" w:fill="FFFFFF"/>
        </w:rPr>
        <w:t>（2）</w:t>
      </w:r>
      <w:r>
        <w:rPr>
          <w:rFonts w:hint="eastAsia" w:ascii="仿宋" w:hAnsi="仿宋" w:eastAsia="仿宋" w:cs="Times New Roman"/>
          <w:kern w:val="0"/>
          <w:sz w:val="28"/>
          <w:szCs w:val="28"/>
          <w:u w:val="single"/>
          <w:shd w:val="clear" w:color="auto" w:fill="FFFFFF"/>
        </w:rPr>
        <w:t>法定代表人身份证明</w:t>
      </w:r>
      <w:r>
        <w:rPr>
          <w:rFonts w:hint="eastAsia" w:ascii="仿宋" w:hAnsi="仿宋" w:eastAsia="仿宋" w:cs="Times New Roman"/>
          <w:kern w:val="0"/>
          <w:sz w:val="28"/>
          <w:szCs w:val="28"/>
          <w:shd w:val="clear" w:color="auto" w:fill="FFFFFF"/>
        </w:rPr>
        <w:t>（按照附件二格式填写，</w:t>
      </w:r>
      <w:r>
        <w:rPr>
          <w:rFonts w:hint="eastAsia" w:ascii="仿宋" w:hAnsi="仿宋" w:eastAsia="仿宋" w:cs="Times New Roman"/>
          <w:b/>
          <w:bCs/>
          <w:kern w:val="0"/>
          <w:sz w:val="28"/>
          <w:szCs w:val="28"/>
          <w:shd w:val="clear" w:color="auto" w:fill="FFFFFF"/>
        </w:rPr>
        <w:t>无论法定代表人是否参加投标，均必须提供本项材料</w:t>
      </w:r>
      <w:r>
        <w:rPr>
          <w:rFonts w:hint="eastAsia" w:ascii="仿宋" w:hAnsi="仿宋" w:eastAsia="仿宋" w:cs="Times New Roman"/>
          <w:kern w:val="0"/>
          <w:sz w:val="28"/>
          <w:szCs w:val="28"/>
          <w:shd w:val="clear" w:color="auto" w:fill="FFFFFF"/>
        </w:rPr>
        <w:t>）；</w:t>
      </w:r>
    </w:p>
    <w:p w14:paraId="5EE9539E">
      <w:pPr>
        <w:widowControl/>
        <w:spacing w:line="420" w:lineRule="exact"/>
        <w:ind w:firstLine="560" w:firstLineChars="200"/>
        <w:rPr>
          <w:rFonts w:ascii="仿宋" w:hAnsi="仿宋" w:eastAsia="仿宋" w:cs="Times New Roman"/>
          <w:kern w:val="0"/>
          <w:sz w:val="28"/>
          <w:szCs w:val="28"/>
          <w:shd w:val="clear" w:color="auto" w:fill="FFFFFF"/>
        </w:rPr>
      </w:pPr>
      <w:r>
        <w:rPr>
          <w:rFonts w:hint="eastAsia" w:ascii="仿宋" w:hAnsi="仿宋" w:eastAsia="仿宋" w:cs="Times New Roman"/>
          <w:kern w:val="0"/>
          <w:sz w:val="28"/>
          <w:szCs w:val="28"/>
          <w:shd w:val="clear" w:color="auto" w:fill="FFFFFF"/>
        </w:rPr>
        <w:t>（3）</w:t>
      </w:r>
      <w:r>
        <w:rPr>
          <w:rFonts w:hint="eastAsia" w:ascii="仿宋" w:hAnsi="仿宋" w:eastAsia="仿宋" w:cs="Times New Roman"/>
          <w:kern w:val="0"/>
          <w:sz w:val="28"/>
          <w:szCs w:val="28"/>
          <w:u w:val="single"/>
          <w:shd w:val="clear" w:color="auto" w:fill="FFFFFF"/>
        </w:rPr>
        <w:t>法定代表人授权委托书及被授权人身份证正反面</w:t>
      </w:r>
      <w:r>
        <w:rPr>
          <w:rFonts w:hint="eastAsia" w:ascii="仿宋" w:hAnsi="仿宋" w:eastAsia="仿宋" w:cs="Times New Roman"/>
          <w:kern w:val="0"/>
          <w:sz w:val="28"/>
          <w:szCs w:val="28"/>
          <w:shd w:val="clear" w:color="auto" w:fill="FFFFFF"/>
        </w:rPr>
        <w:t>（法定代表人授权委托书按照附件三格式填写，</w:t>
      </w:r>
      <w:r>
        <w:rPr>
          <w:rFonts w:hint="eastAsia" w:ascii="仿宋" w:hAnsi="仿宋" w:eastAsia="仿宋" w:cs="Times New Roman"/>
          <w:b/>
          <w:bCs/>
          <w:kern w:val="0"/>
          <w:sz w:val="28"/>
          <w:szCs w:val="28"/>
          <w:shd w:val="clear" w:color="auto" w:fill="FFFFFF"/>
        </w:rPr>
        <w:t>非法定代表人参加投标时提交</w:t>
      </w:r>
      <w:r>
        <w:rPr>
          <w:rFonts w:hint="eastAsia" w:ascii="仿宋" w:hAnsi="仿宋" w:eastAsia="仿宋" w:cs="Times New Roman"/>
          <w:kern w:val="0"/>
          <w:sz w:val="28"/>
          <w:szCs w:val="28"/>
          <w:shd w:val="clear" w:color="auto" w:fill="FFFFFF"/>
        </w:rPr>
        <w:t>）；</w:t>
      </w:r>
    </w:p>
    <w:p w14:paraId="1057DF35">
      <w:pPr>
        <w:widowControl/>
        <w:spacing w:line="420" w:lineRule="exact"/>
        <w:ind w:firstLine="560" w:firstLineChars="200"/>
        <w:rPr>
          <w:rFonts w:ascii="仿宋" w:hAnsi="仿宋" w:eastAsia="仿宋" w:cs="Times New Roman"/>
          <w:kern w:val="0"/>
          <w:sz w:val="28"/>
          <w:szCs w:val="28"/>
          <w:shd w:val="clear" w:color="auto" w:fill="FFFFFF"/>
        </w:rPr>
      </w:pPr>
      <w:r>
        <w:rPr>
          <w:rFonts w:hint="eastAsia" w:ascii="仿宋" w:hAnsi="仿宋" w:eastAsia="仿宋" w:cs="Times New Roman"/>
          <w:kern w:val="0"/>
          <w:sz w:val="28"/>
          <w:szCs w:val="28"/>
          <w:shd w:val="clear" w:color="auto" w:fill="FFFFFF"/>
        </w:rPr>
        <w:t>（4）</w:t>
      </w:r>
      <w:r>
        <w:rPr>
          <w:rFonts w:hint="eastAsia" w:ascii="仿宋" w:hAnsi="仿宋" w:eastAsia="仿宋" w:cs="Times New Roman"/>
          <w:kern w:val="0"/>
          <w:sz w:val="28"/>
          <w:szCs w:val="28"/>
          <w:u w:val="single"/>
          <w:shd w:val="clear" w:color="auto" w:fill="FFFFFF"/>
        </w:rPr>
        <w:t>有效的营业执照复印件</w:t>
      </w:r>
      <w:r>
        <w:rPr>
          <w:rFonts w:hint="eastAsia" w:ascii="仿宋" w:hAnsi="仿宋" w:eastAsia="仿宋" w:cs="Times New Roman"/>
          <w:kern w:val="0"/>
          <w:sz w:val="28"/>
          <w:szCs w:val="28"/>
          <w:shd w:val="clear" w:color="auto" w:fill="FFFFFF"/>
        </w:rPr>
        <w:t>（加盖报价单位公章）；</w:t>
      </w:r>
    </w:p>
    <w:p w14:paraId="513480C1">
      <w:pPr>
        <w:widowControl/>
        <w:spacing w:line="420" w:lineRule="exact"/>
        <w:ind w:firstLine="560" w:firstLineChars="200"/>
        <w:rPr>
          <w:rFonts w:ascii="仿宋" w:hAnsi="仿宋" w:eastAsia="仿宋" w:cs="Times New Roman"/>
          <w:kern w:val="0"/>
          <w:sz w:val="28"/>
          <w:szCs w:val="28"/>
          <w:shd w:val="clear" w:color="auto" w:fill="FFFFFF"/>
        </w:rPr>
      </w:pPr>
      <w:r>
        <w:rPr>
          <w:rFonts w:hint="eastAsia" w:ascii="仿宋" w:hAnsi="仿宋" w:eastAsia="仿宋" w:cs="Times New Roman"/>
          <w:kern w:val="0"/>
          <w:sz w:val="28"/>
          <w:szCs w:val="28"/>
          <w:shd w:val="clear" w:color="auto" w:fill="FFFFFF"/>
        </w:rPr>
        <w:t>（5）</w:t>
      </w:r>
      <w:r>
        <w:rPr>
          <w:rFonts w:hint="eastAsia" w:ascii="仿宋" w:hAnsi="仿宋" w:eastAsia="仿宋" w:cs="Times New Roman"/>
          <w:kern w:val="0"/>
          <w:sz w:val="28"/>
          <w:szCs w:val="28"/>
          <w:u w:val="single"/>
          <w:shd w:val="clear" w:color="auto" w:fill="FFFFFF"/>
        </w:rPr>
        <w:t>所投消防产品（灭火器）有效的厂家授权销售证明</w:t>
      </w:r>
      <w:r>
        <w:rPr>
          <w:rFonts w:hint="eastAsia" w:ascii="仿宋" w:hAnsi="仿宋" w:eastAsia="仿宋" w:cs="Times New Roman"/>
          <w:kern w:val="0"/>
          <w:sz w:val="28"/>
          <w:szCs w:val="28"/>
          <w:shd w:val="clear" w:color="auto" w:fill="FFFFFF"/>
        </w:rPr>
        <w:t>（经销商必须提供并加盖报价单位公章）；</w:t>
      </w:r>
    </w:p>
    <w:p w14:paraId="0B8E91DE">
      <w:pPr>
        <w:widowControl/>
        <w:spacing w:line="420" w:lineRule="exact"/>
        <w:ind w:firstLine="560" w:firstLineChars="200"/>
        <w:rPr>
          <w:rFonts w:ascii="仿宋" w:hAnsi="仿宋" w:eastAsia="仿宋" w:cs="Times New Roman"/>
          <w:kern w:val="0"/>
          <w:sz w:val="28"/>
          <w:szCs w:val="28"/>
          <w:shd w:val="clear" w:color="auto" w:fill="FFFFFF"/>
        </w:rPr>
      </w:pPr>
      <w:r>
        <w:rPr>
          <w:rFonts w:hint="eastAsia" w:ascii="仿宋" w:hAnsi="仿宋" w:eastAsia="仿宋" w:cs="Times New Roman"/>
          <w:kern w:val="0"/>
          <w:sz w:val="28"/>
          <w:szCs w:val="28"/>
          <w:shd w:val="clear" w:color="auto" w:fill="FFFFFF"/>
        </w:rPr>
        <w:t>（6）</w:t>
      </w:r>
      <w:r>
        <w:rPr>
          <w:rFonts w:hint="eastAsia" w:ascii="仿宋" w:hAnsi="仿宋" w:eastAsia="仿宋" w:cs="Times New Roman"/>
          <w:kern w:val="0"/>
          <w:sz w:val="28"/>
          <w:szCs w:val="28"/>
          <w:u w:val="single"/>
          <w:shd w:val="clear" w:color="auto" w:fill="FFFFFF"/>
        </w:rPr>
        <w:t>具有在南通地区的本地化服务能力承诺函</w:t>
      </w:r>
      <w:r>
        <w:rPr>
          <w:rFonts w:hint="eastAsia" w:ascii="仿宋" w:hAnsi="仿宋" w:eastAsia="仿宋" w:cs="Times New Roman"/>
          <w:kern w:val="0"/>
          <w:sz w:val="28"/>
          <w:szCs w:val="28"/>
          <w:shd w:val="clear" w:color="auto" w:fill="FFFFFF"/>
        </w:rPr>
        <w:t>（格式自拟，</w:t>
      </w:r>
      <w:r>
        <w:rPr>
          <w:rFonts w:hint="eastAsia" w:ascii="仿宋" w:hAnsi="仿宋" w:eastAsia="仿宋" w:cs="Times New Roman"/>
          <w:b/>
          <w:kern w:val="0"/>
          <w:sz w:val="28"/>
          <w:szCs w:val="28"/>
          <w:shd w:val="clear" w:color="auto" w:fill="FFFFFF"/>
        </w:rPr>
        <w:t>如成交供应商为非南通本地注册公司，须提供南通本地合作单位营业执照和合作协议，并加盖双方单位公章。</w:t>
      </w:r>
      <w:r>
        <w:rPr>
          <w:rFonts w:hint="eastAsia" w:ascii="仿宋" w:hAnsi="仿宋" w:eastAsia="仿宋" w:cs="Times New Roman"/>
          <w:kern w:val="0"/>
          <w:sz w:val="28"/>
          <w:szCs w:val="28"/>
          <w:shd w:val="clear" w:color="auto" w:fill="FFFFFF"/>
        </w:rPr>
        <w:t>）；</w:t>
      </w:r>
    </w:p>
    <w:p w14:paraId="7EF1C415">
      <w:pPr>
        <w:widowControl/>
        <w:spacing w:line="420" w:lineRule="exact"/>
        <w:ind w:firstLine="560" w:firstLineChars="200"/>
        <w:rPr>
          <w:rFonts w:ascii="仿宋" w:hAnsi="仿宋" w:eastAsia="仿宋" w:cs="Times New Roman"/>
          <w:kern w:val="0"/>
          <w:sz w:val="28"/>
          <w:szCs w:val="28"/>
          <w:shd w:val="clear" w:color="auto" w:fill="FFFFFF"/>
        </w:rPr>
      </w:pPr>
      <w:r>
        <w:rPr>
          <w:rFonts w:hint="eastAsia" w:ascii="仿宋" w:hAnsi="仿宋" w:eastAsia="仿宋" w:cs="Times New Roman"/>
          <w:kern w:val="0"/>
          <w:sz w:val="28"/>
          <w:szCs w:val="28"/>
          <w:shd w:val="clear" w:color="auto" w:fill="FFFFFF"/>
        </w:rPr>
        <w:t>（7）</w:t>
      </w:r>
      <w:r>
        <w:rPr>
          <w:rFonts w:hint="eastAsia" w:ascii="仿宋" w:hAnsi="仿宋" w:eastAsia="仿宋" w:cs="Times New Roman"/>
          <w:kern w:val="0"/>
          <w:sz w:val="28"/>
          <w:szCs w:val="28"/>
          <w:u w:val="single"/>
          <w:shd w:val="clear" w:color="auto" w:fill="FFFFFF"/>
        </w:rPr>
        <w:t>报价明细表</w:t>
      </w:r>
      <w:r>
        <w:rPr>
          <w:rFonts w:hint="eastAsia" w:ascii="仿宋" w:hAnsi="仿宋" w:eastAsia="仿宋" w:cs="Times New Roman"/>
          <w:kern w:val="0"/>
          <w:sz w:val="28"/>
          <w:szCs w:val="28"/>
          <w:shd w:val="clear" w:color="auto" w:fill="FFFFFF"/>
        </w:rPr>
        <w:t>：必须按提供的样表格式（附件四）填写报价，所有涉及报价的页面均必须加盖单位公章，否则视为无效报价文件；</w:t>
      </w:r>
    </w:p>
    <w:p w14:paraId="32445926">
      <w:pPr>
        <w:widowControl/>
        <w:spacing w:line="420" w:lineRule="exact"/>
        <w:ind w:firstLine="560" w:firstLineChars="200"/>
        <w:rPr>
          <w:rFonts w:ascii="仿宋" w:hAnsi="仿宋" w:eastAsia="仿宋" w:cs="Times New Roman"/>
          <w:kern w:val="0"/>
          <w:sz w:val="28"/>
          <w:szCs w:val="28"/>
          <w:shd w:val="clear" w:color="auto" w:fill="FFFFFF"/>
        </w:rPr>
      </w:pPr>
      <w:r>
        <w:rPr>
          <w:rFonts w:hint="eastAsia" w:ascii="仿宋" w:hAnsi="仿宋" w:eastAsia="仿宋" w:cs="Times New Roman"/>
          <w:kern w:val="0"/>
          <w:sz w:val="28"/>
          <w:szCs w:val="28"/>
          <w:shd w:val="clear" w:color="auto" w:fill="FFFFFF"/>
        </w:rPr>
        <w:t>（8）</w:t>
      </w:r>
      <w:r>
        <w:rPr>
          <w:rFonts w:hint="eastAsia" w:ascii="仿宋" w:hAnsi="仿宋" w:eastAsia="仿宋" w:cs="Times New Roman"/>
          <w:kern w:val="0"/>
          <w:sz w:val="28"/>
          <w:szCs w:val="28"/>
          <w:u w:val="single"/>
          <w:shd w:val="clear" w:color="auto" w:fill="FFFFFF"/>
        </w:rPr>
        <w:t>报价货物采购要求响应表</w:t>
      </w:r>
      <w:r>
        <w:rPr>
          <w:rFonts w:hint="eastAsia" w:ascii="仿宋" w:hAnsi="仿宋" w:eastAsia="仿宋" w:cs="Times New Roman"/>
          <w:kern w:val="0"/>
          <w:sz w:val="28"/>
          <w:szCs w:val="28"/>
          <w:shd w:val="clear" w:color="auto" w:fill="FFFFFF"/>
        </w:rPr>
        <w:t>（按照附件五格式填写）；</w:t>
      </w:r>
    </w:p>
    <w:p w14:paraId="5668524E">
      <w:pPr>
        <w:widowControl/>
        <w:spacing w:line="420" w:lineRule="exact"/>
        <w:ind w:firstLine="560" w:firstLineChars="200"/>
        <w:rPr>
          <w:rFonts w:ascii="仿宋" w:hAnsi="仿宋" w:eastAsia="仿宋" w:cs="Times New Roman"/>
          <w:kern w:val="0"/>
          <w:sz w:val="28"/>
          <w:szCs w:val="28"/>
          <w:shd w:val="clear" w:color="auto" w:fill="FFFFFF"/>
        </w:rPr>
      </w:pPr>
      <w:r>
        <w:rPr>
          <w:rFonts w:hint="eastAsia" w:ascii="仿宋" w:hAnsi="仿宋" w:eastAsia="仿宋" w:cs="Times New Roman"/>
          <w:kern w:val="0"/>
          <w:sz w:val="28"/>
          <w:szCs w:val="28"/>
          <w:shd w:val="clear" w:color="auto" w:fill="FFFFFF"/>
        </w:rPr>
        <w:t>（9）</w:t>
      </w:r>
      <w:r>
        <w:rPr>
          <w:rFonts w:hint="eastAsia" w:ascii="仿宋" w:hAnsi="仿宋" w:eastAsia="仿宋" w:cs="Times New Roman"/>
          <w:kern w:val="0"/>
          <w:sz w:val="28"/>
          <w:szCs w:val="28"/>
          <w:u w:val="single"/>
          <w:shd w:val="clear" w:color="auto" w:fill="FFFFFF"/>
        </w:rPr>
        <w:t>质保承诺书</w:t>
      </w:r>
      <w:r>
        <w:rPr>
          <w:rFonts w:hint="eastAsia" w:ascii="仿宋" w:hAnsi="仿宋" w:eastAsia="仿宋" w:cs="Times New Roman"/>
          <w:kern w:val="0"/>
          <w:sz w:val="28"/>
          <w:szCs w:val="28"/>
          <w:shd w:val="clear" w:color="auto" w:fill="FFFFFF"/>
        </w:rPr>
        <w:t>（按照附件六格式填写）。</w:t>
      </w:r>
    </w:p>
    <w:p w14:paraId="75BA0D7C">
      <w:pPr>
        <w:widowControl/>
        <w:spacing w:line="420" w:lineRule="exact"/>
        <w:ind w:firstLine="562" w:firstLineChars="200"/>
        <w:rPr>
          <w:rFonts w:ascii="Calibri" w:hAnsi="Calibri" w:eastAsia="宋体" w:cs="Times New Roman"/>
          <w:sz w:val="28"/>
          <w:szCs w:val="28"/>
        </w:rPr>
      </w:pPr>
      <w:r>
        <w:rPr>
          <w:rFonts w:hint="eastAsia" w:ascii="宋体" w:hAnsi="宋体" w:eastAsia="宋体" w:cs="仿宋_GB2312"/>
          <w:b/>
          <w:bCs/>
          <w:sz w:val="28"/>
          <w:szCs w:val="28"/>
        </w:rPr>
        <w:t>注意：</w:t>
      </w:r>
      <w:r>
        <w:rPr>
          <w:rFonts w:hint="eastAsia" w:ascii="宋体" w:hAnsi="宋体" w:eastAsia="宋体" w:cs="仿宋_GB2312"/>
          <w:b/>
          <w:sz w:val="28"/>
          <w:szCs w:val="28"/>
        </w:rPr>
        <w:t>上述复印件均需加盖单位公章，</w:t>
      </w:r>
      <w:r>
        <w:rPr>
          <w:rFonts w:hint="eastAsia" w:ascii="宋体" w:hAnsi="宋体" w:eastAsia="宋体" w:cs="仿宋_GB2312"/>
          <w:b/>
          <w:bCs/>
          <w:sz w:val="28"/>
          <w:szCs w:val="28"/>
        </w:rPr>
        <w:t>否则将被视作资格审查不通过。</w:t>
      </w:r>
    </w:p>
    <w:p w14:paraId="042F54C1">
      <w:pPr>
        <w:widowControl/>
        <w:spacing w:line="420" w:lineRule="exact"/>
        <w:ind w:firstLine="560" w:firstLineChars="200"/>
        <w:rPr>
          <w:rFonts w:ascii="仿宋_GB2312" w:hAnsi="Calibri" w:eastAsia="仿宋_GB2312" w:cs="Times New Roman"/>
          <w:kern w:val="0"/>
          <w:sz w:val="28"/>
          <w:szCs w:val="28"/>
        </w:rPr>
      </w:pPr>
      <w:r>
        <w:rPr>
          <w:rFonts w:hint="eastAsia" w:ascii="仿宋_GB2312" w:hAnsi="Calibri" w:eastAsia="仿宋_GB2312" w:cs="Times New Roman"/>
          <w:kern w:val="0"/>
          <w:sz w:val="28"/>
          <w:szCs w:val="28"/>
        </w:rPr>
        <w:t>报价文件纸质文本</w:t>
      </w:r>
      <w:r>
        <w:rPr>
          <w:rFonts w:hint="eastAsia" w:ascii="仿宋_GB2312" w:hAnsi="Calibri" w:eastAsia="仿宋_GB2312" w:cs="Times New Roman"/>
          <w:b/>
          <w:bCs/>
          <w:kern w:val="0"/>
          <w:sz w:val="28"/>
          <w:szCs w:val="28"/>
        </w:rPr>
        <w:t>一正二副</w:t>
      </w:r>
      <w:r>
        <w:rPr>
          <w:rFonts w:hint="eastAsia" w:ascii="仿宋_GB2312" w:hAnsi="Calibri" w:eastAsia="仿宋_GB2312" w:cs="Times New Roman"/>
          <w:kern w:val="0"/>
          <w:sz w:val="28"/>
          <w:szCs w:val="28"/>
        </w:rPr>
        <w:t>，报价文件中必须包含上述要求提供的所有材料，否则视为无效报价文件。报价文件装订成册并密封，密封袋上标明：项目名称、报价单位名称，否则视为无效投标文件。</w:t>
      </w:r>
    </w:p>
    <w:p w14:paraId="5E52DCD4">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5.投标文件递交</w:t>
      </w:r>
    </w:p>
    <w:p w14:paraId="4A0F96D7">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投标截止时间：2025年10月 1</w:t>
      </w:r>
      <w:r>
        <w:rPr>
          <w:rFonts w:hint="eastAsia" w:ascii="仿宋" w:hAnsi="仿宋" w:eastAsia="仿宋" w:cs="Times New Roman"/>
          <w:sz w:val="28"/>
          <w:szCs w:val="28"/>
          <w:shd w:val="clear" w:color="auto" w:fill="FFFFFF"/>
          <w:lang w:val="en-US" w:eastAsia="zh-CN"/>
        </w:rPr>
        <w:t>7</w:t>
      </w:r>
      <w:r>
        <w:rPr>
          <w:rFonts w:hint="eastAsia" w:ascii="仿宋" w:hAnsi="仿宋" w:eastAsia="仿宋" w:cs="Times New Roman"/>
          <w:sz w:val="28"/>
          <w:szCs w:val="28"/>
          <w:shd w:val="clear" w:color="auto" w:fill="FFFFFF"/>
        </w:rPr>
        <w:t>日 9 点30分（北京时间）</w:t>
      </w:r>
    </w:p>
    <w:p w14:paraId="60634681">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开标时间：2025年10 月 1</w:t>
      </w:r>
      <w:r>
        <w:rPr>
          <w:rFonts w:hint="eastAsia" w:ascii="仿宋" w:hAnsi="仿宋" w:eastAsia="仿宋" w:cs="Times New Roman"/>
          <w:sz w:val="28"/>
          <w:szCs w:val="28"/>
          <w:shd w:val="clear" w:color="auto" w:fill="FFFFFF"/>
          <w:lang w:val="en-US" w:eastAsia="zh-CN"/>
        </w:rPr>
        <w:t>7</w:t>
      </w:r>
      <w:r>
        <w:rPr>
          <w:rFonts w:hint="eastAsia" w:ascii="仿宋" w:hAnsi="仿宋" w:eastAsia="仿宋" w:cs="Times New Roman"/>
          <w:sz w:val="28"/>
          <w:szCs w:val="28"/>
          <w:shd w:val="clear" w:color="auto" w:fill="FFFFFF"/>
        </w:rPr>
        <w:t>日 9 点30分（北京时间）</w:t>
      </w:r>
    </w:p>
    <w:p w14:paraId="44AD7016">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开标地点：启东市汇龙中学汇德楼三楼会议室</w:t>
      </w:r>
    </w:p>
    <w:p w14:paraId="2AF69853">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本项目采用现场报名开标方式，报价文件请于2025年10月1</w:t>
      </w:r>
      <w:r>
        <w:rPr>
          <w:rFonts w:hint="eastAsia" w:ascii="仿宋" w:hAnsi="仿宋" w:eastAsia="仿宋" w:cs="Times New Roman"/>
          <w:sz w:val="28"/>
          <w:szCs w:val="28"/>
          <w:shd w:val="clear" w:color="auto" w:fill="FFFFFF"/>
          <w:lang w:val="en-US" w:eastAsia="zh-CN"/>
        </w:rPr>
        <w:t>7</w:t>
      </w:r>
      <w:r>
        <w:rPr>
          <w:rFonts w:hint="eastAsia" w:ascii="仿宋" w:hAnsi="仿宋" w:eastAsia="仿宋" w:cs="Times New Roman"/>
          <w:sz w:val="28"/>
          <w:szCs w:val="28"/>
          <w:shd w:val="clear" w:color="auto" w:fill="FFFFFF"/>
        </w:rPr>
        <w:t>日9点30分前密封送至启东市汇龙中学汇德楼三楼会议室（只接受直接送达），逾时则不予受理。</w:t>
      </w:r>
    </w:p>
    <w:p w14:paraId="26A4FC4D">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6.投标保证金</w:t>
      </w:r>
    </w:p>
    <w:p w14:paraId="0F1F1C51">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根据省财政厅要求，免收投标保证金。</w:t>
      </w:r>
    </w:p>
    <w:p w14:paraId="47DBB6D9">
      <w:pPr>
        <w:widowControl/>
        <w:spacing w:line="440" w:lineRule="exact"/>
        <w:ind w:firstLine="560"/>
        <w:rPr>
          <w:rFonts w:ascii="仿宋" w:hAnsi="仿宋" w:eastAsia="仿宋" w:cs="Times New Roman"/>
          <w:sz w:val="28"/>
          <w:szCs w:val="28"/>
          <w:shd w:val="clear" w:color="auto" w:fill="FFFFFF"/>
        </w:rPr>
      </w:pPr>
      <w:r>
        <w:rPr>
          <w:rFonts w:hint="eastAsia" w:ascii="黑体" w:hAnsi="黑体" w:eastAsia="黑体" w:cs="Times New Roman"/>
          <w:b/>
          <w:kern w:val="0"/>
          <w:sz w:val="28"/>
          <w:szCs w:val="28"/>
        </w:rPr>
        <w:t>五、商务部分要求</w:t>
      </w:r>
      <w:r>
        <w:rPr>
          <w:rFonts w:hint="eastAsia" w:ascii="仿宋" w:hAnsi="仿宋" w:eastAsia="仿宋" w:cs="Times New Roman"/>
          <w:b/>
          <w:sz w:val="28"/>
          <w:szCs w:val="28"/>
          <w:shd w:val="clear" w:color="auto" w:fill="FFFFFF"/>
        </w:rPr>
        <w:t>：</w:t>
      </w:r>
    </w:p>
    <w:p w14:paraId="2F48718B">
      <w:pPr>
        <w:widowControl/>
        <w:spacing w:line="440" w:lineRule="exact"/>
        <w:ind w:firstLine="560"/>
        <w:rPr>
          <w:rFonts w:ascii="仿宋" w:hAnsi="仿宋" w:eastAsia="仿宋" w:cs="Times New Roman"/>
          <w:b/>
          <w:sz w:val="28"/>
          <w:szCs w:val="28"/>
          <w:shd w:val="clear" w:color="auto" w:fill="FFFFFF"/>
        </w:rPr>
      </w:pPr>
      <w:r>
        <w:rPr>
          <w:rFonts w:hint="eastAsia" w:ascii="仿宋" w:hAnsi="仿宋" w:eastAsia="仿宋" w:cs="Times New Roman"/>
          <w:b/>
          <w:sz w:val="28"/>
          <w:szCs w:val="28"/>
          <w:shd w:val="clear" w:color="auto" w:fill="FFFFFF"/>
        </w:rPr>
        <w:t>1.质量要求：</w:t>
      </w:r>
      <w:r>
        <w:rPr>
          <w:rFonts w:hint="eastAsia" w:ascii="仿宋" w:hAnsi="仿宋" w:eastAsia="仿宋" w:cs="Times New Roman"/>
          <w:bCs/>
          <w:sz w:val="28"/>
          <w:szCs w:val="28"/>
          <w:shd w:val="clear" w:color="auto" w:fill="FFFFFF"/>
        </w:rPr>
        <w:t>成交供应商需提供产品证明材料、参数内相关产品检测报告，审核通过方可签订合同，未能提供或提供虚假材料，取消成交资格并追究相关责任。</w:t>
      </w:r>
    </w:p>
    <w:p w14:paraId="394D1C88">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b/>
          <w:sz w:val="28"/>
          <w:szCs w:val="28"/>
          <w:shd w:val="clear" w:color="auto" w:fill="FFFFFF"/>
        </w:rPr>
        <w:t>2.交货时间：合同签订后10日内按采购人指定地点安装完毕并通过验收</w:t>
      </w:r>
      <w:r>
        <w:rPr>
          <w:rFonts w:hint="eastAsia" w:ascii="仿宋" w:hAnsi="仿宋" w:eastAsia="仿宋" w:cs="Times New Roman"/>
          <w:sz w:val="28"/>
          <w:szCs w:val="28"/>
          <w:shd w:val="clear" w:color="auto" w:fill="FFFFFF"/>
        </w:rPr>
        <w:t>。</w:t>
      </w:r>
    </w:p>
    <w:p w14:paraId="60085994">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b/>
          <w:sz w:val="28"/>
          <w:szCs w:val="28"/>
          <w:shd w:val="clear" w:color="auto" w:fill="FFFFFF"/>
        </w:rPr>
        <w:t>3.交货、安装地点：</w:t>
      </w:r>
      <w:r>
        <w:rPr>
          <w:rFonts w:hint="eastAsia" w:ascii="仿宋" w:hAnsi="仿宋" w:eastAsia="仿宋" w:cs="Times New Roman"/>
          <w:sz w:val="28"/>
          <w:szCs w:val="28"/>
          <w:shd w:val="clear" w:color="auto" w:fill="FFFFFF"/>
        </w:rPr>
        <w:t>启东市汇龙中学，具体以采购人指定地点为准。</w:t>
      </w:r>
    </w:p>
    <w:p w14:paraId="3FF5B350">
      <w:pPr>
        <w:widowControl/>
        <w:spacing w:line="440" w:lineRule="exact"/>
        <w:ind w:firstLine="560"/>
        <w:rPr>
          <w:rFonts w:ascii="仿宋" w:hAnsi="仿宋" w:eastAsia="仿宋" w:cs="Times New Roman"/>
          <w:b/>
          <w:sz w:val="28"/>
          <w:szCs w:val="28"/>
          <w:shd w:val="clear" w:color="auto" w:fill="FFFFFF"/>
        </w:rPr>
      </w:pPr>
      <w:r>
        <w:rPr>
          <w:rFonts w:hint="eastAsia" w:ascii="仿宋" w:hAnsi="仿宋" w:eastAsia="仿宋" w:cs="Times New Roman"/>
          <w:b/>
          <w:sz w:val="28"/>
          <w:szCs w:val="28"/>
          <w:shd w:val="clear" w:color="auto" w:fill="FFFFFF"/>
        </w:rPr>
        <w:t>4.质保期：</w:t>
      </w:r>
      <w:r>
        <w:rPr>
          <w:rFonts w:hint="eastAsia" w:ascii="仿宋" w:hAnsi="仿宋" w:eastAsia="仿宋" w:cs="Times New Roman"/>
          <w:bCs/>
          <w:sz w:val="28"/>
          <w:szCs w:val="28"/>
          <w:shd w:val="clear" w:color="auto" w:fill="FFFFFF"/>
        </w:rPr>
        <w:t>成交供应商所投干粉灭火器质保五年，非人为因素外，需确保五年内灭火器压力指示在正常绿区范围，如灭火器压力指示有异常，五年内免费更换。质保期内，成交供应商应免费维修。货物在质保期内出现故障时，成交供应商在接到用户单位电话通知后，</w:t>
      </w:r>
      <w:r>
        <w:rPr>
          <w:rFonts w:hint="eastAsia" w:ascii="仿宋" w:hAnsi="仿宋" w:eastAsia="仿宋" w:cs="Times New Roman"/>
          <w:sz w:val="28"/>
          <w:szCs w:val="28"/>
          <w:shd w:val="clear" w:color="auto" w:fill="FFFFFF"/>
        </w:rPr>
        <w:t>在1小时之内上门服务，一般问题2小时内到场解决，重大故障4个小时到场解决。如需更换货物或送修，必须在48小时内提供备用货物，紧急情况下随叫随到</w:t>
      </w:r>
      <w:r>
        <w:rPr>
          <w:rFonts w:hint="eastAsia" w:ascii="仿宋" w:hAnsi="仿宋" w:eastAsia="仿宋" w:cs="Times New Roman"/>
          <w:bCs/>
          <w:sz w:val="28"/>
          <w:szCs w:val="28"/>
          <w:shd w:val="clear" w:color="auto" w:fill="FFFFFF"/>
        </w:rPr>
        <w:t>。如成交供应商在接到采购人通知后4小时内未实质性响应，采购单位可另行委托他人修理，所需费用在合同价内予以扣除。</w:t>
      </w:r>
    </w:p>
    <w:p w14:paraId="5915EBA5">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b/>
          <w:sz w:val="28"/>
          <w:szCs w:val="28"/>
          <w:shd w:val="clear" w:color="auto" w:fill="FFFFFF"/>
        </w:rPr>
        <w:t>5.履约保证金：</w:t>
      </w:r>
      <w:r>
        <w:rPr>
          <w:rFonts w:hint="eastAsia" w:ascii="仿宋" w:hAnsi="仿宋" w:eastAsia="仿宋" w:cs="Times New Roman"/>
          <w:sz w:val="28"/>
          <w:szCs w:val="28"/>
          <w:shd w:val="clear" w:color="auto" w:fill="FFFFFF"/>
        </w:rPr>
        <w:t>被确定成交的供应商，必须在签订合同前向采购单位交纳履约保证金，</w:t>
      </w:r>
      <w:r>
        <w:rPr>
          <w:rFonts w:hint="eastAsia" w:ascii="仿宋" w:hAnsi="仿宋" w:eastAsia="仿宋" w:cs="Times New Roman"/>
          <w:b/>
          <w:sz w:val="28"/>
          <w:szCs w:val="28"/>
          <w:shd w:val="clear" w:color="auto" w:fill="FFFFFF"/>
        </w:rPr>
        <w:t>履约保证金金额为合同价的10%，</w:t>
      </w:r>
      <w:r>
        <w:rPr>
          <w:rFonts w:hint="eastAsia" w:ascii="仿宋" w:hAnsi="仿宋" w:eastAsia="仿宋" w:cs="Times New Roman"/>
          <w:sz w:val="28"/>
          <w:szCs w:val="28"/>
          <w:shd w:val="clear" w:color="auto" w:fill="FFFFFF"/>
        </w:rPr>
        <w:t>在供应商供货完毕并经采购单位验收合格后一个月内由采购单位返还。</w:t>
      </w:r>
    </w:p>
    <w:p w14:paraId="33E4079D">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b/>
          <w:sz w:val="28"/>
          <w:szCs w:val="28"/>
          <w:shd w:val="clear" w:color="auto" w:fill="FFFFFF"/>
        </w:rPr>
        <w:t>6.约定事项：</w:t>
      </w:r>
    </w:p>
    <w:p w14:paraId="05E96EF2">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（1）在成交供应商供货完毕后，采购单位将组织验收小组根据询价公告和供应商报价文件对供应商所供货物进行验收。如验收时发现有参数偏离且未在报价文件中说明的，视为验收不合格。</w:t>
      </w:r>
    </w:p>
    <w:p w14:paraId="102DCDA9">
      <w:pPr>
        <w:widowControl/>
        <w:spacing w:line="440" w:lineRule="exact"/>
        <w:ind w:firstLine="560"/>
        <w:rPr>
          <w:rFonts w:ascii="仿宋" w:hAnsi="仿宋" w:eastAsia="仿宋" w:cs="Times New Roman"/>
          <w:b/>
          <w:bCs/>
          <w:sz w:val="28"/>
          <w:szCs w:val="28"/>
          <w:shd w:val="clear" w:color="auto" w:fill="FFFFFF"/>
        </w:rPr>
      </w:pPr>
      <w:r>
        <w:rPr>
          <w:rFonts w:hint="eastAsia" w:ascii="仿宋" w:hAnsi="仿宋" w:eastAsia="仿宋" w:cs="Times New Roman"/>
          <w:b/>
          <w:bCs/>
          <w:sz w:val="28"/>
          <w:szCs w:val="28"/>
          <w:shd w:val="clear" w:color="auto" w:fill="FFFFFF"/>
        </w:rPr>
        <w:t>（2）供货时须提供的灭火器材需通过公安部消防产品合格评定中心检测，并提供检测报告。灭火器的生产日期至供货日不得超过3个月。</w:t>
      </w:r>
    </w:p>
    <w:p w14:paraId="63402F7D">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（3）物资到达要求地点后由采购方组织相关人员进行核对验收，如产品不符合使用要求时采购方应告知供货方原因并协助其进行退换，涉及到的费用由供货方承担。</w:t>
      </w:r>
    </w:p>
    <w:p w14:paraId="7F4E5AFF">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b/>
          <w:bCs/>
          <w:sz w:val="28"/>
          <w:szCs w:val="28"/>
          <w:shd w:val="clear" w:color="auto" w:fill="FFFFFF"/>
        </w:rPr>
        <w:t>（4）所提供的产品须符合相关型号标准进行生产的产品，随货提供应急管理部消防产品合格评定中心《消防产品认证证书》和国家消防装备质量监督检验中心《检验报告》。</w:t>
      </w:r>
    </w:p>
    <w:p w14:paraId="08CDF699">
      <w:pPr>
        <w:widowControl/>
        <w:spacing w:line="440" w:lineRule="exact"/>
        <w:ind w:firstLine="560"/>
        <w:rPr>
          <w:rFonts w:ascii="仿宋" w:hAnsi="仿宋" w:eastAsia="仿宋" w:cs="Times New Roman"/>
          <w:b/>
          <w:sz w:val="28"/>
          <w:szCs w:val="28"/>
          <w:shd w:val="clear" w:color="auto" w:fill="FFFFFF"/>
        </w:rPr>
      </w:pPr>
      <w:r>
        <w:rPr>
          <w:rFonts w:hint="eastAsia" w:ascii="黑体" w:hAnsi="黑体" w:eastAsia="黑体" w:cs="Times New Roman"/>
          <w:b/>
          <w:kern w:val="0"/>
          <w:sz w:val="28"/>
          <w:szCs w:val="28"/>
        </w:rPr>
        <w:t>六、合同的签订及注意事项</w:t>
      </w:r>
      <w:r>
        <w:rPr>
          <w:rFonts w:hint="eastAsia" w:ascii="仿宋" w:hAnsi="仿宋" w:eastAsia="仿宋" w:cs="Times New Roman"/>
          <w:b/>
          <w:sz w:val="28"/>
          <w:szCs w:val="28"/>
          <w:shd w:val="clear" w:color="auto" w:fill="FFFFFF"/>
        </w:rPr>
        <w:t>：</w:t>
      </w:r>
    </w:p>
    <w:p w14:paraId="33B8ECFB">
      <w:pPr>
        <w:widowControl/>
        <w:spacing w:line="440" w:lineRule="exact"/>
        <w:ind w:firstLine="560"/>
        <w:rPr>
          <w:rFonts w:ascii="仿宋" w:hAnsi="仿宋" w:eastAsia="仿宋" w:cs="Times New Roman"/>
          <w:b/>
          <w:sz w:val="28"/>
          <w:szCs w:val="28"/>
          <w:shd w:val="clear" w:color="auto" w:fill="FFFFFF"/>
        </w:rPr>
      </w:pPr>
      <w:r>
        <w:rPr>
          <w:rFonts w:hint="eastAsia" w:ascii="仿宋" w:hAnsi="仿宋" w:eastAsia="仿宋" w:cs="Times New Roman"/>
          <w:b/>
          <w:sz w:val="28"/>
          <w:szCs w:val="28"/>
          <w:shd w:val="clear" w:color="auto" w:fill="FFFFFF"/>
        </w:rPr>
        <w:t>1、成交结果将在相关网站予（启东市汇龙中学官网）以公布，公示期为1天，公示期内对成交结果无异议的，将确定成交候选人为成交供应商。</w:t>
      </w:r>
    </w:p>
    <w:p w14:paraId="2F6D4A32">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2、签订合同</w:t>
      </w:r>
    </w:p>
    <w:p w14:paraId="24B9F06F">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（1）询价公告、补充文件及成交供应商的报价文件等均为签订合同的依据。</w:t>
      </w:r>
    </w:p>
    <w:p w14:paraId="792840AD">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（2）成交供应商须在公示期满后三十日内签订合同，否则扣除履约保证金。</w:t>
      </w:r>
    </w:p>
    <w:p w14:paraId="3B60B00D">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sz w:val="28"/>
          <w:szCs w:val="28"/>
          <w:shd w:val="clear" w:color="auto" w:fill="FFFFFF"/>
        </w:rPr>
        <w:t>（3）成交供应商因自身原因不能订立政府采购合同的，采购单位将取消其成交资格，同时相关主管部门将对成交供应商作以下处理：记入不良信誉，并按《政府采购法》有关规定，暂停其在启东市场的政府采购资格。</w:t>
      </w:r>
    </w:p>
    <w:p w14:paraId="48C6F2EF">
      <w:pPr>
        <w:widowControl/>
        <w:spacing w:line="440" w:lineRule="exact"/>
        <w:ind w:firstLine="560"/>
        <w:rPr>
          <w:rFonts w:ascii="仿宋" w:hAnsi="仿宋" w:eastAsia="仿宋" w:cs="Times New Roman"/>
          <w:bCs/>
          <w:sz w:val="28"/>
          <w:szCs w:val="28"/>
          <w:shd w:val="clear" w:color="auto" w:fill="FFFFFF"/>
        </w:rPr>
      </w:pPr>
      <w:r>
        <w:rPr>
          <w:rFonts w:hint="eastAsia" w:ascii="仿宋" w:hAnsi="仿宋" w:eastAsia="仿宋" w:cs="Times New Roman"/>
          <w:bCs/>
          <w:sz w:val="28"/>
          <w:szCs w:val="28"/>
          <w:shd w:val="clear" w:color="auto" w:fill="FFFFFF"/>
        </w:rPr>
        <w:t>（4）</w:t>
      </w:r>
      <w:r>
        <w:rPr>
          <w:rFonts w:hint="eastAsia" w:ascii="仿宋" w:hAnsi="仿宋" w:eastAsia="仿宋" w:cs="Times New Roman"/>
          <w:sz w:val="28"/>
          <w:szCs w:val="28"/>
          <w:shd w:val="clear" w:color="auto" w:fill="FFFFFF"/>
        </w:rPr>
        <w:t>成交供应商因自身原因</w:t>
      </w:r>
      <w:r>
        <w:rPr>
          <w:rFonts w:hint="eastAsia" w:ascii="仿宋" w:hAnsi="仿宋" w:eastAsia="仿宋" w:cs="Times New Roman"/>
          <w:b/>
          <w:bCs/>
          <w:sz w:val="28"/>
          <w:szCs w:val="28"/>
          <w:shd w:val="clear" w:color="auto" w:fill="FFFFFF"/>
        </w:rPr>
        <w:t>不能履行</w:t>
      </w:r>
      <w:r>
        <w:rPr>
          <w:rFonts w:hint="eastAsia" w:ascii="仿宋" w:hAnsi="仿宋" w:eastAsia="仿宋" w:cs="Times New Roman"/>
          <w:sz w:val="28"/>
          <w:szCs w:val="28"/>
          <w:shd w:val="clear" w:color="auto" w:fill="FFFFFF"/>
        </w:rPr>
        <w:t>政府采购合同的，采购单位将取消其成交资格，履约保证金不予退还，同时相关主管部门将对成交供应商作以下处理：记入不良信誉，并按《政府采购法》有关规定，暂停其在启东市场的政府采购资格。</w:t>
      </w:r>
    </w:p>
    <w:p w14:paraId="3006347F">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b/>
          <w:sz w:val="28"/>
          <w:szCs w:val="28"/>
          <w:shd w:val="clear" w:color="auto" w:fill="FFFFFF"/>
        </w:rPr>
        <w:t>七、成交原则：</w:t>
      </w:r>
      <w:r>
        <w:rPr>
          <w:rFonts w:hint="eastAsia" w:ascii="仿宋" w:hAnsi="仿宋" w:eastAsia="仿宋" w:cs="Times New Roman"/>
          <w:b/>
          <w:sz w:val="28"/>
          <w:szCs w:val="28"/>
          <w:u w:val="single"/>
          <w:shd w:val="clear" w:color="auto" w:fill="FFFFFF"/>
        </w:rPr>
        <w:t>符合采购需求且总报价最低者成交。若报价相同的，则采购人通过抽签方式随机确定中标候选人。</w:t>
      </w:r>
    </w:p>
    <w:p w14:paraId="2A474DA7">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b/>
          <w:sz w:val="28"/>
          <w:szCs w:val="28"/>
          <w:shd w:val="clear" w:color="auto" w:fill="FFFFFF"/>
        </w:rPr>
        <w:t>八、</w:t>
      </w:r>
      <w:r>
        <w:rPr>
          <w:rFonts w:hint="eastAsia" w:ascii="仿宋" w:hAnsi="仿宋" w:eastAsia="仿宋" w:cs="Times New Roman"/>
          <w:sz w:val="28"/>
          <w:szCs w:val="28"/>
          <w:shd w:val="clear" w:color="auto" w:fill="FFFFFF"/>
        </w:rPr>
        <w:t>到投标截止时间止，如收到的投标文件或经评审后有效的投标文件少于三个的（不含三个），项目废标，将依法重新组织采购。</w:t>
      </w:r>
    </w:p>
    <w:p w14:paraId="21AF62AE">
      <w:pPr>
        <w:widowControl/>
        <w:spacing w:line="440" w:lineRule="exact"/>
        <w:ind w:firstLine="560"/>
        <w:rPr>
          <w:rFonts w:ascii="仿宋" w:hAnsi="仿宋" w:eastAsia="仿宋" w:cs="Times New Roman"/>
          <w:sz w:val="28"/>
          <w:szCs w:val="28"/>
          <w:shd w:val="clear" w:color="auto" w:fill="FFFFFF"/>
        </w:rPr>
      </w:pPr>
      <w:r>
        <w:rPr>
          <w:rFonts w:hint="eastAsia" w:ascii="仿宋" w:hAnsi="仿宋" w:eastAsia="仿宋" w:cs="Times New Roman"/>
          <w:b/>
          <w:sz w:val="28"/>
          <w:szCs w:val="28"/>
          <w:shd w:val="clear" w:color="auto" w:fill="FFFFFF"/>
        </w:rPr>
        <w:t>九、付款方式：</w:t>
      </w:r>
      <w:r>
        <w:rPr>
          <w:rFonts w:hint="eastAsia" w:ascii="仿宋" w:hAnsi="仿宋" w:eastAsia="仿宋" w:cs="Times New Roman"/>
          <w:bCs/>
          <w:sz w:val="28"/>
          <w:szCs w:val="28"/>
          <w:shd w:val="clear" w:color="auto" w:fill="FFFFFF"/>
        </w:rPr>
        <w:t>合同签订后产品安装到采购单位指定地点并经验收合格后支付至合同价的90%；验收合格满一年后支付至合同价的95%，余款在质保期（五年）满后一次性付清（不计利息）。</w:t>
      </w:r>
    </w:p>
    <w:p w14:paraId="09057068">
      <w:pPr>
        <w:widowControl/>
        <w:spacing w:line="440" w:lineRule="exact"/>
        <w:ind w:firstLine="560"/>
        <w:rPr>
          <w:rFonts w:ascii="仿宋" w:hAnsi="仿宋" w:eastAsia="仿宋" w:cs="Times New Roman"/>
          <w:sz w:val="28"/>
          <w:szCs w:val="28"/>
          <w:shd w:val="clear" w:color="auto" w:fill="FFFFFF"/>
        </w:rPr>
      </w:pPr>
      <w:r>
        <w:rPr>
          <w:rFonts w:ascii="仿宋" w:hAnsi="仿宋" w:eastAsia="仿宋" w:cs="Times New Roman"/>
          <w:sz w:val="28"/>
          <w:szCs w:val="28"/>
          <w:shd w:val="clear" w:color="auto" w:fill="FFFFFF"/>
        </w:rPr>
        <w:t xml:space="preserve"> </w:t>
      </w:r>
    </w:p>
    <w:p w14:paraId="53239882">
      <w:pPr>
        <w:widowControl/>
        <w:spacing w:line="500" w:lineRule="exact"/>
        <w:ind w:firstLine="560" w:firstLineChars="200"/>
        <w:rPr>
          <w:rFonts w:ascii="仿宋_GB2312" w:hAnsi="Calibri" w:eastAsia="仿宋_GB2312" w:cs="Times New Roman"/>
          <w:kern w:val="0"/>
          <w:sz w:val="28"/>
          <w:szCs w:val="28"/>
        </w:rPr>
      </w:pPr>
    </w:p>
    <w:p w14:paraId="1BD62731">
      <w:pPr>
        <w:widowControl/>
        <w:spacing w:line="500" w:lineRule="exact"/>
        <w:ind w:right="280"/>
        <w:jc w:val="right"/>
        <w:rPr>
          <w:rFonts w:ascii="仿宋_GB2312" w:hAnsi="Calibri" w:eastAsia="仿宋_GB2312" w:cs="Times New Roman"/>
          <w:kern w:val="0"/>
          <w:sz w:val="28"/>
          <w:szCs w:val="28"/>
        </w:rPr>
      </w:pPr>
      <w:bookmarkStart w:id="0" w:name="_GoBack"/>
      <w:bookmarkEnd w:id="0"/>
      <w:r>
        <w:rPr>
          <w:rFonts w:hint="eastAsia" w:ascii="仿宋_GB2312" w:hAnsi="Calibri" w:eastAsia="仿宋_GB2312" w:cs="Times New Roman"/>
          <w:kern w:val="0"/>
          <w:sz w:val="28"/>
          <w:szCs w:val="28"/>
        </w:rPr>
        <w:t>启东市汇龙中学</w:t>
      </w:r>
    </w:p>
    <w:p w14:paraId="49BBC4C8">
      <w:pPr>
        <w:widowControl/>
        <w:spacing w:line="500" w:lineRule="exact"/>
        <w:jc w:val="right"/>
        <w:rPr>
          <w:rFonts w:ascii="仿宋_GB2312" w:hAnsi="Calibri" w:eastAsia="仿宋_GB2312" w:cs="Times New Roman"/>
          <w:kern w:val="0"/>
          <w:sz w:val="28"/>
          <w:szCs w:val="28"/>
        </w:rPr>
      </w:pPr>
      <w:r>
        <w:rPr>
          <w:rFonts w:hint="eastAsia" w:ascii="仿宋_GB2312" w:hAnsi="Calibri" w:eastAsia="仿宋_GB2312" w:cs="Times New Roman"/>
          <w:kern w:val="0"/>
          <w:sz w:val="28"/>
          <w:szCs w:val="28"/>
        </w:rPr>
        <w:t>2025年10月1</w:t>
      </w:r>
      <w:r>
        <w:rPr>
          <w:rFonts w:hint="eastAsia" w:ascii="仿宋_GB2312" w:hAnsi="Calibri" w:eastAsia="仿宋_GB2312" w:cs="Times New Roman"/>
          <w:kern w:val="0"/>
          <w:sz w:val="28"/>
          <w:szCs w:val="28"/>
          <w:lang w:val="en-US" w:eastAsia="zh-CN"/>
        </w:rPr>
        <w:t>3</w:t>
      </w:r>
      <w:r>
        <w:rPr>
          <w:rFonts w:hint="eastAsia" w:ascii="仿宋_GB2312" w:hAnsi="Calibri" w:eastAsia="仿宋_GB2312" w:cs="Times New Roman"/>
          <w:kern w:val="0"/>
          <w:sz w:val="28"/>
          <w:szCs w:val="28"/>
        </w:rPr>
        <w:t>日</w:t>
      </w:r>
    </w:p>
    <w:p w14:paraId="414AADF3">
      <w:pPr>
        <w:widowControl/>
        <w:spacing w:line="500" w:lineRule="exact"/>
        <w:jc w:val="right"/>
        <w:rPr>
          <w:rFonts w:ascii="仿宋_GB2312" w:hAnsi="Calibri" w:eastAsia="仿宋_GB2312" w:cs="Times New Roman"/>
          <w:kern w:val="0"/>
          <w:sz w:val="28"/>
          <w:szCs w:val="28"/>
        </w:rPr>
      </w:pPr>
    </w:p>
    <w:p w14:paraId="66C8BF61">
      <w:pPr>
        <w:widowControl/>
        <w:spacing w:line="500" w:lineRule="exact"/>
        <w:jc w:val="right"/>
        <w:rPr>
          <w:rFonts w:ascii="仿宋_GB2312" w:hAnsi="Calibri" w:eastAsia="仿宋_GB2312" w:cs="Times New Roman"/>
          <w:kern w:val="0"/>
          <w:sz w:val="28"/>
          <w:szCs w:val="28"/>
        </w:rPr>
      </w:pPr>
    </w:p>
    <w:p w14:paraId="5C72031A">
      <w:pPr>
        <w:widowControl/>
        <w:spacing w:line="500" w:lineRule="exact"/>
        <w:jc w:val="left"/>
        <w:rPr>
          <w:rFonts w:ascii="仿宋_GB2312" w:hAnsi="Calibri" w:eastAsia="仿宋_GB2312" w:cs="Times New Roman"/>
          <w:kern w:val="0"/>
          <w:sz w:val="28"/>
          <w:szCs w:val="28"/>
        </w:rPr>
      </w:pPr>
    </w:p>
    <w:p w14:paraId="55232594">
      <w:pPr>
        <w:widowControl/>
        <w:spacing w:line="500" w:lineRule="exact"/>
        <w:jc w:val="left"/>
        <w:rPr>
          <w:rFonts w:ascii="仿宋_GB2312" w:hAnsi="Calibri" w:eastAsia="仿宋_GB2312" w:cs="Times New Roman"/>
          <w:kern w:val="0"/>
          <w:sz w:val="28"/>
          <w:szCs w:val="28"/>
        </w:rPr>
      </w:pPr>
    </w:p>
    <w:p w14:paraId="1E65D0FA">
      <w:pPr>
        <w:widowControl/>
        <w:spacing w:line="500" w:lineRule="exact"/>
        <w:jc w:val="left"/>
        <w:rPr>
          <w:rFonts w:ascii="仿宋_GB2312" w:hAnsi="Calibri" w:eastAsia="仿宋_GB2312" w:cs="Times New Roman"/>
          <w:kern w:val="0"/>
          <w:sz w:val="28"/>
          <w:szCs w:val="28"/>
        </w:rPr>
      </w:pPr>
    </w:p>
    <w:p w14:paraId="2638359B">
      <w:pPr>
        <w:widowControl/>
        <w:spacing w:line="500" w:lineRule="exact"/>
        <w:jc w:val="left"/>
        <w:rPr>
          <w:rFonts w:ascii="仿宋_GB2312" w:hAnsi="Calibri" w:eastAsia="仿宋_GB2312" w:cs="Times New Roman"/>
          <w:kern w:val="0"/>
          <w:sz w:val="28"/>
          <w:szCs w:val="28"/>
        </w:rPr>
      </w:pPr>
    </w:p>
    <w:p w14:paraId="44985461">
      <w:pPr>
        <w:widowControl/>
        <w:spacing w:line="500" w:lineRule="exact"/>
        <w:jc w:val="left"/>
        <w:rPr>
          <w:rFonts w:ascii="仿宋_GB2312" w:hAnsi="Calibri" w:eastAsia="仿宋_GB2312" w:cs="Times New Roman"/>
          <w:kern w:val="0"/>
          <w:sz w:val="28"/>
          <w:szCs w:val="28"/>
        </w:rPr>
      </w:pPr>
    </w:p>
    <w:p w14:paraId="0937A3BE">
      <w:pPr>
        <w:widowControl/>
        <w:spacing w:line="500" w:lineRule="exact"/>
        <w:jc w:val="left"/>
        <w:rPr>
          <w:rFonts w:ascii="仿宋_GB2312" w:hAnsi="Calibri" w:eastAsia="仿宋_GB2312" w:cs="Times New Roman"/>
          <w:kern w:val="0"/>
          <w:sz w:val="28"/>
          <w:szCs w:val="28"/>
        </w:rPr>
      </w:pPr>
    </w:p>
    <w:p w14:paraId="63633515">
      <w:pPr>
        <w:widowControl/>
        <w:spacing w:line="500" w:lineRule="exact"/>
        <w:jc w:val="left"/>
        <w:rPr>
          <w:rFonts w:ascii="仿宋_GB2312" w:hAnsi="Calibri" w:eastAsia="仿宋_GB2312" w:cs="Times New Roman"/>
          <w:kern w:val="0"/>
          <w:sz w:val="28"/>
          <w:szCs w:val="28"/>
        </w:rPr>
      </w:pPr>
    </w:p>
    <w:p w14:paraId="20DB3A17">
      <w:pPr>
        <w:widowControl/>
        <w:spacing w:line="500" w:lineRule="exact"/>
        <w:jc w:val="left"/>
        <w:rPr>
          <w:rFonts w:ascii="仿宋_GB2312" w:hAnsi="Calibri" w:eastAsia="仿宋_GB2312" w:cs="Times New Roman"/>
          <w:kern w:val="0"/>
          <w:sz w:val="28"/>
          <w:szCs w:val="28"/>
        </w:rPr>
      </w:pPr>
    </w:p>
    <w:p w14:paraId="2E83AB61">
      <w:pPr>
        <w:widowControl/>
        <w:spacing w:line="500" w:lineRule="exact"/>
        <w:jc w:val="left"/>
        <w:rPr>
          <w:rFonts w:ascii="仿宋_GB2312" w:hAnsi="Calibri" w:eastAsia="仿宋_GB2312" w:cs="Times New Roman"/>
          <w:kern w:val="0"/>
          <w:sz w:val="28"/>
          <w:szCs w:val="28"/>
        </w:rPr>
      </w:pPr>
    </w:p>
    <w:p w14:paraId="63FD44C0">
      <w:pPr>
        <w:widowControl/>
        <w:spacing w:line="500" w:lineRule="exact"/>
        <w:jc w:val="left"/>
        <w:rPr>
          <w:rFonts w:ascii="仿宋_GB2312" w:hAnsi="Calibri" w:eastAsia="仿宋_GB2312" w:cs="Times New Roman"/>
          <w:kern w:val="0"/>
          <w:sz w:val="28"/>
          <w:szCs w:val="28"/>
        </w:rPr>
      </w:pPr>
    </w:p>
    <w:p w14:paraId="511EDD0F">
      <w:pPr>
        <w:widowControl/>
        <w:spacing w:line="500" w:lineRule="exact"/>
        <w:jc w:val="left"/>
        <w:rPr>
          <w:rFonts w:ascii="仿宋_GB2312" w:hAnsi="Calibri" w:eastAsia="仿宋_GB2312" w:cs="Times New Roman"/>
          <w:kern w:val="0"/>
          <w:sz w:val="28"/>
          <w:szCs w:val="28"/>
        </w:rPr>
      </w:pPr>
    </w:p>
    <w:p w14:paraId="4C4C151E">
      <w:pPr>
        <w:widowControl/>
        <w:spacing w:line="500" w:lineRule="exact"/>
        <w:jc w:val="left"/>
        <w:rPr>
          <w:rFonts w:ascii="仿宋_GB2312" w:hAnsi="Calibri" w:eastAsia="仿宋_GB2312" w:cs="Times New Roman"/>
          <w:kern w:val="0"/>
          <w:sz w:val="28"/>
          <w:szCs w:val="28"/>
        </w:rPr>
      </w:pPr>
    </w:p>
    <w:p w14:paraId="65EC2CA0">
      <w:pPr>
        <w:widowControl/>
        <w:spacing w:line="460" w:lineRule="exact"/>
        <w:jc w:val="left"/>
        <w:rPr>
          <w:rFonts w:ascii="仿宋_GB2312" w:hAnsi="Calibri" w:eastAsia="仿宋_GB2312" w:cs="Times New Roman"/>
          <w:sz w:val="28"/>
          <w:szCs w:val="28"/>
        </w:rPr>
      </w:pPr>
      <w:r>
        <w:rPr>
          <w:rFonts w:hint="eastAsia" w:ascii="仿宋_GB2312" w:hAnsi="Calibri" w:eastAsia="仿宋_GB2312" w:cs="Times New Roman"/>
          <w:b/>
          <w:kern w:val="0"/>
          <w:sz w:val="28"/>
          <w:szCs w:val="28"/>
        </w:rPr>
        <w:t>附件一：</w:t>
      </w:r>
      <w:r>
        <w:rPr>
          <w:rFonts w:hint="eastAsia" w:ascii="仿宋_GB2312" w:hAnsi="Calibri" w:eastAsia="仿宋_GB2312" w:cs="Times New Roman"/>
          <w:sz w:val="28"/>
          <w:szCs w:val="28"/>
        </w:rPr>
        <w:t xml:space="preserve"> </w:t>
      </w:r>
    </w:p>
    <w:p w14:paraId="77B78297">
      <w:pPr>
        <w:widowControl/>
        <w:spacing w:line="460" w:lineRule="exact"/>
        <w:jc w:val="center"/>
        <w:rPr>
          <w:rFonts w:ascii="仿宋_GB2312" w:hAnsi="Calibri" w:eastAsia="仿宋_GB2312" w:cs="Times New Roman"/>
          <w:sz w:val="28"/>
          <w:szCs w:val="28"/>
        </w:rPr>
      </w:pPr>
      <w:r>
        <w:rPr>
          <w:rFonts w:hint="eastAsia" w:ascii="宋体" w:hAnsi="宋体" w:eastAsia="宋体" w:cs="Times New Roman"/>
          <w:b/>
          <w:kern w:val="0"/>
          <w:sz w:val="28"/>
          <w:szCs w:val="28"/>
        </w:rPr>
        <w:t>报 价 承 诺 书</w:t>
      </w:r>
    </w:p>
    <w:p w14:paraId="05BEAA5B">
      <w:pPr>
        <w:widowControl/>
        <w:spacing w:line="460" w:lineRule="exact"/>
        <w:ind w:firstLine="560" w:firstLineChars="200"/>
        <w:rPr>
          <w:rFonts w:ascii="仿宋_GB2312" w:hAnsi="Calibri" w:eastAsia="仿宋_GB2312" w:cs="Times New Roman"/>
          <w:kern w:val="0"/>
          <w:sz w:val="28"/>
          <w:szCs w:val="28"/>
        </w:rPr>
      </w:pPr>
      <w:r>
        <w:rPr>
          <w:rFonts w:hint="eastAsia" w:ascii="仿宋_GB2312" w:hAnsi="Calibri" w:eastAsia="仿宋_GB2312" w:cs="Times New Roman"/>
          <w:kern w:val="0"/>
          <w:sz w:val="28"/>
          <w:szCs w:val="28"/>
        </w:rPr>
        <w:t>启东市汇龙中学：</w:t>
      </w:r>
    </w:p>
    <w:p w14:paraId="32AEA669">
      <w:pPr>
        <w:widowControl/>
        <w:spacing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kern w:val="0"/>
          <w:sz w:val="28"/>
          <w:szCs w:val="28"/>
        </w:rPr>
        <w:t>（报价单位全称）授权（姓  名）（职  务）为全权代表，参加</w:t>
      </w:r>
      <w:r>
        <w:rPr>
          <w:rFonts w:hint="eastAsia" w:ascii="仿宋_GB2312" w:hAnsi="Calibri" w:eastAsia="仿宋_GB2312" w:cs="Times New Roman"/>
          <w:sz w:val="28"/>
          <w:szCs w:val="28"/>
          <w:u w:val="single"/>
        </w:rPr>
        <w:t>启东市汇龙中学灭火器采购与安装项目</w:t>
      </w:r>
      <w:r>
        <w:rPr>
          <w:rFonts w:hint="eastAsia" w:ascii="仿宋_GB2312" w:hAnsi="Calibri" w:eastAsia="仿宋_GB2312" w:cs="Times New Roman"/>
          <w:kern w:val="0"/>
          <w:sz w:val="28"/>
          <w:szCs w:val="28"/>
        </w:rPr>
        <w:t>的有关活动，我方决定参加投标，并作如下承诺：</w:t>
      </w:r>
    </w:p>
    <w:p w14:paraId="7E3ED268">
      <w:pPr>
        <w:widowControl/>
        <w:spacing w:line="460" w:lineRule="exact"/>
        <w:ind w:firstLine="560" w:firstLineChars="200"/>
        <w:rPr>
          <w:rFonts w:ascii="仿宋_GB2312" w:hAnsi="Calibri" w:eastAsia="仿宋_GB2312" w:cs="Times New Roman"/>
          <w:kern w:val="0"/>
          <w:sz w:val="28"/>
          <w:szCs w:val="28"/>
        </w:rPr>
      </w:pPr>
      <w:r>
        <w:rPr>
          <w:rFonts w:hint="eastAsia" w:ascii="仿宋_GB2312" w:hAnsi="Calibri" w:eastAsia="仿宋_GB2312" w:cs="Times New Roman"/>
          <w:kern w:val="0"/>
          <w:sz w:val="28"/>
          <w:szCs w:val="28"/>
        </w:rPr>
        <w:t>1.我方具有独立承担民事责任的能力；</w:t>
      </w:r>
    </w:p>
    <w:p w14:paraId="71DE2F35">
      <w:pPr>
        <w:widowControl/>
        <w:spacing w:line="460" w:lineRule="exact"/>
        <w:ind w:firstLine="560" w:firstLineChars="200"/>
        <w:rPr>
          <w:rFonts w:ascii="仿宋_GB2312" w:hAnsi="Calibri" w:eastAsia="仿宋_GB2312" w:cs="Times New Roman"/>
          <w:kern w:val="0"/>
          <w:sz w:val="28"/>
          <w:szCs w:val="28"/>
        </w:rPr>
      </w:pPr>
      <w:r>
        <w:rPr>
          <w:rFonts w:hint="eastAsia" w:ascii="仿宋_GB2312" w:hAnsi="Calibri" w:eastAsia="仿宋_GB2312" w:cs="Times New Roman"/>
          <w:kern w:val="0"/>
          <w:sz w:val="28"/>
          <w:szCs w:val="28"/>
        </w:rPr>
        <w:t>2.我方具有良好的商业信誉和健全的财务会计制度；</w:t>
      </w:r>
    </w:p>
    <w:p w14:paraId="28CEFE31">
      <w:pPr>
        <w:widowControl/>
        <w:spacing w:line="460" w:lineRule="exact"/>
        <w:ind w:firstLine="560" w:firstLineChars="200"/>
        <w:rPr>
          <w:rFonts w:ascii="仿宋_GB2312" w:hAnsi="Calibri" w:eastAsia="仿宋_GB2312" w:cs="Times New Roman"/>
          <w:kern w:val="0"/>
          <w:sz w:val="28"/>
          <w:szCs w:val="28"/>
        </w:rPr>
      </w:pPr>
      <w:r>
        <w:rPr>
          <w:rFonts w:hint="eastAsia" w:ascii="仿宋_GB2312" w:hAnsi="Calibri" w:eastAsia="仿宋_GB2312" w:cs="Times New Roman"/>
          <w:kern w:val="0"/>
          <w:sz w:val="28"/>
          <w:szCs w:val="28"/>
        </w:rPr>
        <w:t>3.我方具有履行合同所必需的设备和专业技术能力；</w:t>
      </w:r>
    </w:p>
    <w:p w14:paraId="0571FE16">
      <w:pPr>
        <w:widowControl/>
        <w:spacing w:line="460" w:lineRule="exact"/>
        <w:ind w:firstLine="560" w:firstLineChars="200"/>
        <w:rPr>
          <w:rFonts w:ascii="仿宋_GB2312" w:hAnsi="Calibri" w:eastAsia="仿宋_GB2312" w:cs="Times New Roman"/>
          <w:kern w:val="0"/>
          <w:sz w:val="28"/>
          <w:szCs w:val="28"/>
        </w:rPr>
      </w:pPr>
      <w:r>
        <w:rPr>
          <w:rFonts w:hint="eastAsia" w:ascii="仿宋_GB2312" w:hAnsi="Calibri" w:eastAsia="仿宋_GB2312" w:cs="Times New Roman"/>
          <w:kern w:val="0"/>
          <w:sz w:val="28"/>
          <w:szCs w:val="28"/>
        </w:rPr>
        <w:t>4.我方有依法缴纳税收和社会保障资金的良好记录；</w:t>
      </w:r>
    </w:p>
    <w:p w14:paraId="22AC85FD">
      <w:pPr>
        <w:widowControl/>
        <w:spacing w:line="460" w:lineRule="exact"/>
        <w:ind w:firstLine="560" w:firstLineChars="200"/>
        <w:rPr>
          <w:rFonts w:ascii="仿宋_GB2312" w:hAnsi="Calibri" w:eastAsia="仿宋_GB2312" w:cs="Times New Roman"/>
          <w:kern w:val="0"/>
          <w:sz w:val="28"/>
          <w:szCs w:val="28"/>
        </w:rPr>
      </w:pPr>
      <w:r>
        <w:rPr>
          <w:rFonts w:hint="eastAsia" w:ascii="仿宋_GB2312" w:hAnsi="Calibri" w:eastAsia="仿宋_GB2312" w:cs="Times New Roman"/>
          <w:kern w:val="0"/>
          <w:sz w:val="28"/>
          <w:szCs w:val="28"/>
        </w:rPr>
        <w:t>5.我方参加采购活动前三年内，在经营活动中没有重大违法记录；（1.供应商在参加采购活动前三年内因违法经营被禁止在一定期限内参加采购活动，期限届满的，可以参加采购活动。2.“较大数额罚款”认定为200万元以上的罚款，法律、行政法规以及国务院有关部门明确规定相关领域“较大数额罚款”标准高于200万元的，从其规定。）</w:t>
      </w:r>
    </w:p>
    <w:p w14:paraId="5A0D68F5">
      <w:pPr>
        <w:widowControl/>
        <w:spacing w:line="460" w:lineRule="exact"/>
        <w:ind w:firstLine="560" w:firstLineChars="200"/>
        <w:rPr>
          <w:rFonts w:ascii="仿宋_GB2312" w:hAnsi="Calibri" w:eastAsia="仿宋_GB2312" w:cs="Times New Roman"/>
          <w:kern w:val="0"/>
          <w:sz w:val="28"/>
          <w:szCs w:val="28"/>
        </w:rPr>
      </w:pPr>
      <w:r>
        <w:rPr>
          <w:rFonts w:hint="eastAsia" w:ascii="仿宋_GB2312" w:hAnsi="Calibri" w:eastAsia="仿宋_GB2312" w:cs="Times New Roman"/>
          <w:kern w:val="0"/>
          <w:sz w:val="28"/>
          <w:szCs w:val="28"/>
        </w:rPr>
        <w:t>6.我方满足法律、行政法规规定的其他条件。</w:t>
      </w:r>
    </w:p>
    <w:p w14:paraId="2A0C6872">
      <w:pPr>
        <w:widowControl/>
        <w:spacing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kern w:val="0"/>
          <w:sz w:val="28"/>
          <w:szCs w:val="28"/>
        </w:rPr>
        <w:t>7.我方愿意按照报价文件的全部要求进行报价（报价内容及价格以报价文件为准）。</w:t>
      </w:r>
    </w:p>
    <w:p w14:paraId="3D14E651">
      <w:pPr>
        <w:widowControl/>
        <w:spacing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kern w:val="0"/>
          <w:sz w:val="28"/>
          <w:szCs w:val="28"/>
        </w:rPr>
        <w:t>8.我方完全理解并同意放弃对公告有不明及误解的权利。</w:t>
      </w:r>
    </w:p>
    <w:p w14:paraId="797259B5">
      <w:pPr>
        <w:widowControl/>
        <w:spacing w:line="460" w:lineRule="exact"/>
        <w:ind w:firstLine="560" w:firstLineChars="200"/>
        <w:rPr>
          <w:rFonts w:ascii="仿宋_GB2312" w:hAnsi="Calibri" w:eastAsia="仿宋_GB2312" w:cs="Times New Roman"/>
          <w:kern w:val="0"/>
          <w:sz w:val="28"/>
          <w:szCs w:val="28"/>
        </w:rPr>
      </w:pPr>
      <w:r>
        <w:rPr>
          <w:rFonts w:hint="eastAsia" w:ascii="仿宋_GB2312" w:hAnsi="Calibri" w:eastAsia="仿宋_GB2312" w:cs="Times New Roman"/>
          <w:kern w:val="0"/>
          <w:sz w:val="28"/>
          <w:szCs w:val="28"/>
        </w:rPr>
        <w:t>9.我方将按公告的规定履行合同责任和义务。</w:t>
      </w:r>
    </w:p>
    <w:p w14:paraId="1989F47C">
      <w:pPr>
        <w:widowControl/>
        <w:spacing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kern w:val="0"/>
          <w:sz w:val="28"/>
          <w:szCs w:val="28"/>
        </w:rPr>
        <w:t>10.我方同意提供按照贵方可能要求的与其报价有关的一切数据或资料，理解并同意贵方的评标办法。</w:t>
      </w:r>
    </w:p>
    <w:p w14:paraId="6110684F">
      <w:pPr>
        <w:widowControl/>
        <w:spacing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kern w:val="0"/>
          <w:sz w:val="28"/>
          <w:szCs w:val="28"/>
        </w:rPr>
        <w:t>11.我方的报价文件自开标后60天内有效。</w:t>
      </w:r>
    </w:p>
    <w:p w14:paraId="4E063B31">
      <w:pPr>
        <w:widowControl/>
        <w:spacing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kern w:val="0"/>
          <w:sz w:val="28"/>
          <w:szCs w:val="28"/>
        </w:rPr>
        <w:t>12.与本报价有关的一切往来通讯请寄：</w:t>
      </w:r>
    </w:p>
    <w:p w14:paraId="240906D9">
      <w:pPr>
        <w:widowControl/>
        <w:spacing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kern w:val="0"/>
          <w:sz w:val="28"/>
          <w:szCs w:val="28"/>
        </w:rPr>
        <w:t>地址：</w:t>
      </w:r>
      <w:r>
        <w:rPr>
          <w:rFonts w:hint="eastAsia" w:ascii="仿宋_GB2312" w:hAnsi="Calibri" w:eastAsia="仿宋_GB2312" w:cs="Times New Roman"/>
          <w:kern w:val="0"/>
          <w:sz w:val="28"/>
          <w:szCs w:val="28"/>
          <w:u w:val="single"/>
        </w:rPr>
        <w:t xml:space="preserve">          </w:t>
      </w:r>
      <w:r>
        <w:rPr>
          <w:rFonts w:hint="eastAsia" w:ascii="仿宋_GB2312" w:hAnsi="Calibri" w:eastAsia="仿宋_GB2312" w:cs="Times New Roman"/>
          <w:kern w:val="0"/>
          <w:sz w:val="28"/>
          <w:szCs w:val="28"/>
        </w:rPr>
        <w:t xml:space="preserve">  邮编：</w:t>
      </w:r>
      <w:r>
        <w:rPr>
          <w:rFonts w:hint="eastAsia" w:ascii="仿宋_GB2312" w:hAnsi="Calibri" w:eastAsia="仿宋_GB2312" w:cs="Times New Roman"/>
          <w:kern w:val="0"/>
          <w:sz w:val="28"/>
          <w:szCs w:val="28"/>
          <w:u w:val="single"/>
        </w:rPr>
        <w:t xml:space="preserve">          </w:t>
      </w:r>
    </w:p>
    <w:p w14:paraId="6D3D846D">
      <w:pPr>
        <w:widowControl/>
        <w:spacing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kern w:val="0"/>
          <w:sz w:val="28"/>
          <w:szCs w:val="28"/>
        </w:rPr>
        <w:t>电话：</w:t>
      </w:r>
      <w:r>
        <w:rPr>
          <w:rFonts w:hint="eastAsia" w:ascii="仿宋_GB2312" w:hAnsi="Calibri" w:eastAsia="仿宋_GB2312" w:cs="Times New Roman"/>
          <w:kern w:val="0"/>
          <w:sz w:val="28"/>
          <w:szCs w:val="28"/>
          <w:u w:val="single"/>
        </w:rPr>
        <w:t xml:space="preserve">          </w:t>
      </w:r>
      <w:r>
        <w:rPr>
          <w:rFonts w:hint="eastAsia" w:ascii="仿宋_GB2312" w:hAnsi="Calibri" w:eastAsia="仿宋_GB2312" w:cs="Times New Roman"/>
          <w:kern w:val="0"/>
          <w:sz w:val="28"/>
          <w:szCs w:val="28"/>
        </w:rPr>
        <w:t xml:space="preserve">  传真：</w:t>
      </w:r>
      <w:r>
        <w:rPr>
          <w:rFonts w:hint="eastAsia" w:ascii="仿宋_GB2312" w:hAnsi="Calibri" w:eastAsia="仿宋_GB2312" w:cs="Times New Roman"/>
          <w:kern w:val="0"/>
          <w:sz w:val="28"/>
          <w:szCs w:val="28"/>
          <w:u w:val="single"/>
        </w:rPr>
        <w:t xml:space="preserve">          </w:t>
      </w:r>
    </w:p>
    <w:p w14:paraId="0B0F2D1E">
      <w:pPr>
        <w:widowControl/>
        <w:spacing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kern w:val="0"/>
          <w:sz w:val="28"/>
          <w:szCs w:val="28"/>
        </w:rPr>
        <w:t>报价单位代表姓名：</w:t>
      </w:r>
      <w:r>
        <w:rPr>
          <w:rFonts w:hint="eastAsia" w:ascii="仿宋_GB2312" w:hAnsi="Calibri" w:eastAsia="仿宋_GB2312" w:cs="Times New Roman"/>
          <w:kern w:val="0"/>
          <w:sz w:val="28"/>
          <w:szCs w:val="28"/>
          <w:u w:val="single"/>
        </w:rPr>
        <w:t xml:space="preserve">          </w:t>
      </w:r>
      <w:r>
        <w:rPr>
          <w:rFonts w:hint="eastAsia" w:ascii="仿宋_GB2312" w:hAnsi="Calibri" w:eastAsia="仿宋_GB2312" w:cs="Times New Roman"/>
          <w:kern w:val="0"/>
          <w:sz w:val="28"/>
          <w:szCs w:val="28"/>
        </w:rPr>
        <w:t xml:space="preserve"> 职务：</w:t>
      </w:r>
      <w:r>
        <w:rPr>
          <w:rFonts w:hint="eastAsia" w:ascii="仿宋_GB2312" w:hAnsi="Calibri" w:eastAsia="仿宋_GB2312" w:cs="Times New Roman"/>
          <w:kern w:val="0"/>
          <w:sz w:val="28"/>
          <w:szCs w:val="28"/>
          <w:u w:val="single"/>
        </w:rPr>
        <w:t xml:space="preserve">          </w:t>
      </w:r>
    </w:p>
    <w:p w14:paraId="2A76B7A3">
      <w:pPr>
        <w:widowControl/>
        <w:spacing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kern w:val="0"/>
          <w:sz w:val="28"/>
          <w:szCs w:val="28"/>
        </w:rPr>
        <w:t>报价单位名称：</w:t>
      </w:r>
      <w:r>
        <w:rPr>
          <w:rFonts w:hint="eastAsia" w:ascii="仿宋_GB2312" w:hAnsi="Calibri" w:eastAsia="仿宋_GB2312" w:cs="Times New Roman"/>
          <w:kern w:val="0"/>
          <w:sz w:val="28"/>
          <w:szCs w:val="28"/>
          <w:u w:val="single"/>
        </w:rPr>
        <w:t xml:space="preserve">          </w:t>
      </w:r>
      <w:r>
        <w:rPr>
          <w:rFonts w:hint="eastAsia" w:ascii="仿宋_GB2312" w:hAnsi="Calibri" w:eastAsia="仿宋_GB2312" w:cs="Times New Roman"/>
          <w:kern w:val="0"/>
          <w:sz w:val="28"/>
          <w:szCs w:val="28"/>
        </w:rPr>
        <w:t>（加盖单位公章）</w:t>
      </w:r>
    </w:p>
    <w:p w14:paraId="21F047F7">
      <w:pPr>
        <w:widowControl/>
        <w:spacing w:line="460" w:lineRule="exact"/>
        <w:ind w:firstLine="560" w:firstLineChars="200"/>
        <w:rPr>
          <w:rFonts w:ascii="仿宋_GB2312" w:hAnsi="Calibri" w:eastAsia="仿宋_GB2312" w:cs="Times New Roman"/>
          <w:sz w:val="28"/>
          <w:szCs w:val="28"/>
        </w:rPr>
      </w:pPr>
      <w:r>
        <w:rPr>
          <w:rFonts w:hint="eastAsia" w:ascii="仿宋_GB2312" w:hAnsi="Calibri" w:eastAsia="仿宋_GB2312" w:cs="Times New Roman"/>
          <w:kern w:val="0"/>
          <w:sz w:val="28"/>
          <w:szCs w:val="28"/>
        </w:rPr>
        <w:t xml:space="preserve"> </w:t>
      </w:r>
    </w:p>
    <w:p w14:paraId="2A01A496">
      <w:pPr>
        <w:widowControl/>
        <w:spacing w:line="460" w:lineRule="exact"/>
        <w:jc w:val="right"/>
        <w:rPr>
          <w:rFonts w:ascii="仿宋" w:hAnsi="仿宋" w:eastAsia="仿宋" w:cs="Times New Roman"/>
          <w:b/>
          <w:sz w:val="28"/>
          <w:szCs w:val="28"/>
          <w:shd w:val="clear" w:color="auto" w:fill="FFFFFF"/>
        </w:rPr>
      </w:pPr>
      <w:r>
        <w:rPr>
          <w:rFonts w:hint="eastAsia" w:ascii="仿宋_GB2312" w:hAnsi="Calibri" w:eastAsia="仿宋_GB2312" w:cs="Times New Roman"/>
          <w:kern w:val="0"/>
          <w:sz w:val="28"/>
          <w:szCs w:val="28"/>
        </w:rPr>
        <w:t xml:space="preserve">年    月    日  </w:t>
      </w:r>
      <w:r>
        <w:rPr>
          <w:rFonts w:hint="eastAsia" w:ascii="仿宋" w:hAnsi="仿宋" w:eastAsia="仿宋" w:cs="Times New Roman"/>
          <w:b/>
          <w:sz w:val="28"/>
          <w:szCs w:val="28"/>
          <w:shd w:val="clear" w:color="auto" w:fill="FFFFFF"/>
        </w:rPr>
        <w:br w:type="page"/>
      </w:r>
    </w:p>
    <w:p w14:paraId="1BEE550F">
      <w:pPr>
        <w:spacing w:line="500" w:lineRule="exact"/>
        <w:jc w:val="left"/>
        <w:rPr>
          <w:rFonts w:ascii="仿宋" w:hAnsi="仿宋" w:eastAsia="仿宋" w:cs="Times New Roman"/>
          <w:b/>
          <w:sz w:val="28"/>
          <w:szCs w:val="28"/>
          <w:shd w:val="clear" w:color="auto" w:fill="FFFFFF"/>
        </w:rPr>
      </w:pPr>
      <w:r>
        <w:rPr>
          <w:rFonts w:hint="eastAsia" w:ascii="仿宋" w:hAnsi="仿宋" w:eastAsia="仿宋" w:cs="Times New Roman"/>
          <w:b/>
          <w:sz w:val="28"/>
          <w:szCs w:val="28"/>
          <w:shd w:val="clear" w:color="auto" w:fill="FFFFFF"/>
        </w:rPr>
        <w:t>附件二：</w:t>
      </w:r>
    </w:p>
    <w:p w14:paraId="442B4858">
      <w:pPr>
        <w:spacing w:line="560" w:lineRule="exact"/>
        <w:jc w:val="center"/>
        <w:rPr>
          <w:rFonts w:ascii="宋体" w:hAnsi="宋体" w:eastAsia="宋体" w:cs="Times New Roman"/>
          <w:b/>
          <w:kern w:val="0"/>
          <w:sz w:val="28"/>
          <w:szCs w:val="28"/>
        </w:rPr>
      </w:pPr>
      <w:r>
        <w:rPr>
          <w:rFonts w:hint="eastAsia" w:ascii="宋体" w:hAnsi="宋体" w:eastAsia="宋体" w:cs="Times New Roman"/>
          <w:b/>
          <w:sz w:val="28"/>
          <w:szCs w:val="28"/>
        </w:rPr>
        <w:t>法定代表人（个体工商户经营者）身份证明</w:t>
      </w:r>
    </w:p>
    <w:p w14:paraId="3ED773C6">
      <w:pPr>
        <w:spacing w:line="480" w:lineRule="exact"/>
        <w:rPr>
          <w:rFonts w:ascii="宋体" w:hAnsi="宋体" w:eastAsia="宋体" w:cs="Times New Roman"/>
          <w:sz w:val="24"/>
          <w:szCs w:val="24"/>
        </w:rPr>
      </w:pPr>
      <w:r>
        <w:rPr>
          <w:rFonts w:hint="eastAsia" w:ascii="宋体" w:hAnsi="宋体" w:eastAsia="宋体" w:cs="Times New Roman"/>
          <w:sz w:val="24"/>
          <w:szCs w:val="24"/>
        </w:rPr>
        <w:t xml:space="preserve"> </w:t>
      </w:r>
    </w:p>
    <w:p w14:paraId="25A223CA">
      <w:pPr>
        <w:spacing w:line="480" w:lineRule="exact"/>
        <w:ind w:firstLine="480" w:firstLineChars="200"/>
        <w:rPr>
          <w:rFonts w:ascii="仿宋_GB2312" w:hAnsi="Calibri" w:eastAsia="仿宋_GB2312" w:cs="Times New Roman"/>
          <w:kern w:val="0"/>
          <w:sz w:val="28"/>
          <w:szCs w:val="28"/>
        </w:rPr>
      </w:pPr>
      <w:r>
        <w:rPr>
          <w:rFonts w:hint="eastAsia" w:ascii="宋体" w:hAnsi="宋体" w:eastAsia="宋体" w:cs="Times New Roman"/>
          <w:sz w:val="24"/>
          <w:szCs w:val="24"/>
          <w:u w:val="single"/>
        </w:rPr>
        <w:t xml:space="preserve">        </w:t>
      </w:r>
      <w:r>
        <w:rPr>
          <w:rFonts w:hint="eastAsia" w:ascii="仿宋_GB2312" w:hAnsi="Calibri" w:eastAsia="仿宋_GB2312" w:cs="Times New Roman"/>
          <w:kern w:val="0"/>
          <w:sz w:val="28"/>
          <w:szCs w:val="28"/>
        </w:rPr>
        <w:t>先生/女士： 现任我单位</w:t>
      </w:r>
      <w:r>
        <w:rPr>
          <w:rFonts w:hint="eastAsia" w:ascii="宋体" w:hAnsi="宋体" w:eastAsia="宋体" w:cs="Times New Roman"/>
          <w:sz w:val="24"/>
          <w:szCs w:val="24"/>
          <w:u w:val="single"/>
        </w:rPr>
        <w:t xml:space="preserve">        </w:t>
      </w:r>
      <w:r>
        <w:rPr>
          <w:rFonts w:hint="eastAsia" w:ascii="仿宋_GB2312" w:hAnsi="Calibri" w:eastAsia="仿宋_GB2312" w:cs="Times New Roman"/>
          <w:kern w:val="0"/>
          <w:sz w:val="28"/>
          <w:szCs w:val="28"/>
        </w:rPr>
        <w:t>职务，为法定代表人（个体工商户经营者），特此证明。</w:t>
      </w:r>
    </w:p>
    <w:p w14:paraId="0868B5F6">
      <w:pPr>
        <w:spacing w:line="480" w:lineRule="exact"/>
        <w:ind w:firstLine="480"/>
        <w:rPr>
          <w:rFonts w:ascii="宋体" w:hAnsi="宋体" w:eastAsia="宋体" w:cs="Times New Roman"/>
          <w:sz w:val="24"/>
          <w:szCs w:val="24"/>
          <w:u w:val="single"/>
        </w:rPr>
      </w:pPr>
      <w:r>
        <w:rPr>
          <w:rFonts w:hint="eastAsia" w:ascii="仿宋_GB2312" w:hAnsi="Calibri" w:eastAsia="仿宋_GB2312" w:cs="Times New Roman"/>
          <w:kern w:val="0"/>
          <w:sz w:val="28"/>
          <w:szCs w:val="28"/>
        </w:rPr>
        <w:t>身份证号码：</w:t>
      </w:r>
      <w:r>
        <w:rPr>
          <w:rFonts w:hint="eastAsia" w:ascii="宋体" w:hAnsi="宋体" w:eastAsia="宋体" w:cs="Times New Roman"/>
          <w:sz w:val="24"/>
          <w:szCs w:val="24"/>
          <w:u w:val="single"/>
        </w:rPr>
        <w:t xml:space="preserve">                                               </w:t>
      </w:r>
    </w:p>
    <w:p w14:paraId="2051AF85">
      <w:pPr>
        <w:spacing w:line="480" w:lineRule="exact"/>
        <w:ind w:firstLine="480"/>
        <w:rPr>
          <w:rFonts w:ascii="宋体" w:hAnsi="宋体" w:eastAsia="宋体" w:cs="Times New Roman"/>
          <w:sz w:val="24"/>
          <w:szCs w:val="24"/>
        </w:rPr>
      </w:pPr>
      <w:r>
        <w:rPr>
          <w:rFonts w:hint="eastAsia" w:ascii="宋体" w:hAnsi="宋体" w:eastAsia="宋体" w:cs="Times New Roman"/>
          <w:sz w:val="24"/>
          <w:szCs w:val="24"/>
        </w:rPr>
        <w:t xml:space="preserve"> </w:t>
      </w:r>
    </w:p>
    <w:p w14:paraId="6C82B32B">
      <w:pPr>
        <w:spacing w:line="480" w:lineRule="exact"/>
        <w:ind w:firstLine="480"/>
        <w:rPr>
          <w:rFonts w:ascii="宋体" w:hAnsi="宋体" w:eastAsia="宋体" w:cs="Times New Roman"/>
          <w:sz w:val="24"/>
          <w:szCs w:val="24"/>
        </w:rPr>
      </w:pPr>
      <w:r>
        <w:rPr>
          <w:rFonts w:hint="eastAsia" w:ascii="宋体" w:hAnsi="宋体" w:eastAsia="宋体" w:cs="Times New Roman"/>
          <w:sz w:val="24"/>
          <w:szCs w:val="24"/>
        </w:rPr>
        <w:t xml:space="preserve"> </w:t>
      </w:r>
    </w:p>
    <w:p w14:paraId="649AC99A">
      <w:pPr>
        <w:spacing w:line="480" w:lineRule="exact"/>
        <w:ind w:firstLine="480"/>
        <w:jc w:val="center"/>
        <w:rPr>
          <w:rFonts w:ascii="仿宋_GB2312" w:hAnsi="Calibri" w:eastAsia="仿宋_GB2312" w:cs="Times New Roman"/>
          <w:kern w:val="0"/>
          <w:sz w:val="28"/>
          <w:szCs w:val="28"/>
        </w:rPr>
      </w:pPr>
      <w:r>
        <w:rPr>
          <w:rFonts w:hint="eastAsia" w:ascii="仿宋_GB2312" w:hAnsi="Calibri" w:eastAsia="仿宋_GB2312" w:cs="Times New Roman"/>
          <w:kern w:val="0"/>
          <w:sz w:val="28"/>
          <w:szCs w:val="28"/>
        </w:rPr>
        <w:t xml:space="preserve">            报价单位名称（盖章）：</w:t>
      </w:r>
    </w:p>
    <w:p w14:paraId="646FDAD3">
      <w:pPr>
        <w:widowControl/>
        <w:spacing w:line="600" w:lineRule="exact"/>
        <w:rPr>
          <w:rFonts w:ascii="宋体" w:hAnsi="宋体" w:eastAsia="宋体" w:cs="Times New Roman"/>
          <w:b/>
          <w:sz w:val="24"/>
          <w:szCs w:val="24"/>
        </w:rPr>
      </w:pPr>
      <w:r>
        <w:rPr>
          <w:rFonts w:hint="eastAsia" w:ascii="宋体" w:hAnsi="宋体" w:eastAsia="宋体" w:cs="Times New Roman"/>
          <w:b/>
          <w:sz w:val="24"/>
          <w:szCs w:val="24"/>
        </w:rPr>
        <w:t xml:space="preserve"> </w:t>
      </w:r>
    </w:p>
    <w:p w14:paraId="35186F17">
      <w:pPr>
        <w:widowControl/>
        <w:spacing w:line="600" w:lineRule="exact"/>
        <w:rPr>
          <w:rFonts w:ascii="宋体" w:hAnsi="宋体" w:eastAsia="宋体" w:cs="Times New Roman"/>
          <w:b/>
          <w:sz w:val="24"/>
          <w:szCs w:val="24"/>
        </w:rPr>
      </w:pPr>
      <w:r>
        <w:rPr>
          <w:rFonts w:hint="eastAsia" w:ascii="宋体" w:hAnsi="宋体" w:eastAsia="宋体" w:cs="Times New Roman"/>
          <w:b/>
          <w:sz w:val="24"/>
          <w:szCs w:val="24"/>
        </w:rPr>
        <w:t>注：提供法定代表人的（个体工商户经营者）身份证正反面复印件盖公章</w:t>
      </w:r>
    </w:p>
    <w:p w14:paraId="462B5E97">
      <w:pPr>
        <w:spacing w:line="500" w:lineRule="exact"/>
        <w:ind w:firstLine="643"/>
        <w:jc w:val="center"/>
        <w:rPr>
          <w:rFonts w:ascii="仿宋" w:hAnsi="仿宋" w:eastAsia="宋体" w:cs="Times New Roman"/>
          <w:b/>
          <w:bCs/>
          <w:sz w:val="32"/>
          <w:szCs w:val="32"/>
        </w:rPr>
      </w:pPr>
      <w:r>
        <w:rPr>
          <w:rFonts w:hint="eastAsia" w:ascii="仿宋" w:hAnsi="仿宋" w:eastAsia="宋体" w:cs="Times New Roman"/>
          <w:b/>
          <w:bCs/>
          <w:sz w:val="32"/>
          <w:szCs w:val="32"/>
        </w:rPr>
        <w:t xml:space="preserve"> </w:t>
      </w:r>
    </w:p>
    <w:p w14:paraId="30FE76AC">
      <w:pPr>
        <w:rPr>
          <w:rFonts w:ascii="仿宋" w:hAnsi="仿宋" w:eastAsia="仿宋" w:cs="Times New Roman"/>
          <w:b/>
          <w:sz w:val="28"/>
          <w:szCs w:val="28"/>
          <w:shd w:val="clear" w:color="auto" w:fill="FFFFFF"/>
        </w:rPr>
      </w:pPr>
      <w:r>
        <w:rPr>
          <w:rFonts w:hint="eastAsia" w:ascii="仿宋" w:hAnsi="仿宋" w:eastAsia="仿宋" w:cs="Times New Roman"/>
          <w:b/>
          <w:sz w:val="28"/>
          <w:szCs w:val="28"/>
          <w:shd w:val="clear" w:color="auto" w:fill="FFFFFF"/>
        </w:rPr>
        <w:br w:type="page"/>
      </w:r>
    </w:p>
    <w:p w14:paraId="5DCCE480">
      <w:pPr>
        <w:spacing w:line="500" w:lineRule="exact"/>
        <w:jc w:val="left"/>
        <w:rPr>
          <w:rFonts w:ascii="仿宋" w:hAnsi="仿宋" w:eastAsia="仿宋" w:cs="Times New Roman"/>
          <w:b/>
          <w:sz w:val="28"/>
          <w:szCs w:val="28"/>
          <w:shd w:val="clear" w:color="auto" w:fill="FFFFFF"/>
        </w:rPr>
      </w:pPr>
      <w:r>
        <w:rPr>
          <w:rFonts w:hint="eastAsia" w:ascii="仿宋" w:hAnsi="仿宋" w:eastAsia="仿宋" w:cs="Times New Roman"/>
          <w:b/>
          <w:sz w:val="28"/>
          <w:szCs w:val="28"/>
          <w:shd w:val="clear" w:color="auto" w:fill="FFFFFF"/>
        </w:rPr>
        <w:t>附件三：</w:t>
      </w:r>
    </w:p>
    <w:p w14:paraId="52B191A7">
      <w:pPr>
        <w:spacing w:line="500" w:lineRule="exact"/>
        <w:ind w:firstLine="643"/>
        <w:jc w:val="center"/>
        <w:rPr>
          <w:rFonts w:ascii="仿宋" w:hAnsi="仿宋" w:eastAsia="宋体" w:cs="Times New Roman"/>
          <w:b/>
          <w:bCs/>
          <w:sz w:val="32"/>
          <w:szCs w:val="32"/>
        </w:rPr>
      </w:pPr>
      <w:r>
        <w:rPr>
          <w:rFonts w:hint="eastAsia" w:ascii="宋体" w:hAnsi="宋体" w:eastAsia="宋体" w:cs="仿宋"/>
          <w:b/>
          <w:bCs/>
          <w:sz w:val="28"/>
          <w:szCs w:val="28"/>
        </w:rPr>
        <w:t>授</w:t>
      </w:r>
      <w:r>
        <w:rPr>
          <w:rFonts w:hint="eastAsia" w:ascii="仿宋" w:hAnsi="仿宋" w:eastAsia="宋体" w:cs="仿宋"/>
          <w:b/>
          <w:bCs/>
          <w:sz w:val="28"/>
          <w:szCs w:val="28"/>
        </w:rPr>
        <w:t xml:space="preserve"> </w:t>
      </w:r>
      <w:r>
        <w:rPr>
          <w:rFonts w:hint="eastAsia" w:ascii="宋体" w:hAnsi="宋体" w:eastAsia="宋体" w:cs="仿宋"/>
          <w:b/>
          <w:bCs/>
          <w:sz w:val="28"/>
          <w:szCs w:val="28"/>
        </w:rPr>
        <w:t>权</w:t>
      </w:r>
      <w:r>
        <w:rPr>
          <w:rFonts w:hint="eastAsia" w:ascii="仿宋" w:hAnsi="仿宋" w:eastAsia="宋体" w:cs="仿宋"/>
          <w:b/>
          <w:bCs/>
          <w:sz w:val="28"/>
          <w:szCs w:val="28"/>
        </w:rPr>
        <w:t xml:space="preserve"> </w:t>
      </w:r>
      <w:r>
        <w:rPr>
          <w:rFonts w:hint="eastAsia" w:ascii="宋体" w:hAnsi="宋体" w:eastAsia="宋体" w:cs="仿宋"/>
          <w:b/>
          <w:bCs/>
          <w:sz w:val="28"/>
          <w:szCs w:val="28"/>
        </w:rPr>
        <w:t>委</w:t>
      </w:r>
      <w:r>
        <w:rPr>
          <w:rFonts w:hint="eastAsia" w:ascii="仿宋" w:hAnsi="仿宋" w:eastAsia="宋体" w:cs="仿宋"/>
          <w:b/>
          <w:bCs/>
          <w:sz w:val="28"/>
          <w:szCs w:val="28"/>
        </w:rPr>
        <w:t xml:space="preserve"> </w:t>
      </w:r>
      <w:r>
        <w:rPr>
          <w:rFonts w:hint="eastAsia" w:ascii="宋体" w:hAnsi="宋体" w:eastAsia="宋体" w:cs="仿宋"/>
          <w:b/>
          <w:bCs/>
          <w:sz w:val="28"/>
          <w:szCs w:val="28"/>
        </w:rPr>
        <w:t>托</w:t>
      </w:r>
      <w:r>
        <w:rPr>
          <w:rFonts w:hint="eastAsia" w:ascii="仿宋" w:hAnsi="仿宋" w:eastAsia="宋体" w:cs="仿宋"/>
          <w:b/>
          <w:bCs/>
          <w:sz w:val="28"/>
          <w:szCs w:val="28"/>
        </w:rPr>
        <w:t xml:space="preserve"> </w:t>
      </w:r>
      <w:r>
        <w:rPr>
          <w:rFonts w:hint="eastAsia" w:ascii="宋体" w:hAnsi="宋体" w:eastAsia="宋体" w:cs="仿宋"/>
          <w:b/>
          <w:bCs/>
          <w:sz w:val="28"/>
          <w:szCs w:val="28"/>
        </w:rPr>
        <w:t>书</w:t>
      </w:r>
    </w:p>
    <w:p w14:paraId="67757209">
      <w:pPr>
        <w:widowControl/>
        <w:spacing w:line="460" w:lineRule="exact"/>
        <w:ind w:firstLine="480" w:firstLineChars="200"/>
        <w:jc w:val="center"/>
        <w:rPr>
          <w:rFonts w:ascii="宋体" w:hAnsi="宋体" w:eastAsia="宋体" w:cs="仿宋_GB2312"/>
          <w:kern w:val="0"/>
          <w:sz w:val="28"/>
          <w:szCs w:val="28"/>
        </w:rPr>
      </w:pPr>
      <w:r>
        <w:rPr>
          <w:rFonts w:hint="eastAsia" w:ascii="宋体" w:hAnsi="宋体" w:eastAsia="宋体" w:cs="Times New Roman"/>
          <w:sz w:val="24"/>
          <w:szCs w:val="24"/>
        </w:rPr>
        <w:t>（委托代理人参加投标，须出示此证明）</w:t>
      </w:r>
    </w:p>
    <w:p w14:paraId="4420E478">
      <w:pPr>
        <w:widowControl/>
        <w:spacing w:line="460" w:lineRule="exact"/>
        <w:jc w:val="left"/>
        <w:rPr>
          <w:rFonts w:ascii="仿宋" w:hAnsi="仿宋" w:eastAsia="仿宋" w:cs="Times New Roman"/>
          <w:kern w:val="0"/>
          <w:sz w:val="28"/>
          <w:szCs w:val="28"/>
        </w:rPr>
      </w:pPr>
      <w:r>
        <w:rPr>
          <w:rFonts w:hint="eastAsia" w:ascii="仿宋" w:hAnsi="仿宋" w:eastAsia="仿宋" w:cs="Times New Roman"/>
          <w:kern w:val="0"/>
          <w:sz w:val="28"/>
          <w:szCs w:val="28"/>
        </w:rPr>
        <w:t>启东市汇龙中学：</w:t>
      </w:r>
    </w:p>
    <w:p w14:paraId="76F96D16">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（单位名称） 系中华人民共和国合法企业（单位），法定地址：</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特授权</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代表我公司全权办理针对</w:t>
      </w:r>
      <w:r>
        <w:rPr>
          <w:rFonts w:hint="eastAsia" w:ascii="仿宋" w:hAnsi="仿宋" w:eastAsia="仿宋" w:cs="Times New Roman"/>
          <w:b/>
          <w:kern w:val="0"/>
          <w:sz w:val="28"/>
          <w:szCs w:val="28"/>
          <w:u w:val="single"/>
          <w:shd w:val="clear" w:color="auto" w:fill="FFFFFF"/>
        </w:rPr>
        <w:t>启东市汇龙中学灭火器采购与安装项目</w:t>
      </w:r>
      <w:r>
        <w:rPr>
          <w:rFonts w:hint="eastAsia" w:ascii="仿宋" w:hAnsi="仿宋" w:eastAsia="仿宋" w:cs="Times New Roman"/>
          <w:kern w:val="0"/>
          <w:sz w:val="28"/>
          <w:szCs w:val="28"/>
        </w:rPr>
        <w:t>的投标，并签署全部有关文件、协议及合同。</w:t>
      </w:r>
    </w:p>
    <w:p w14:paraId="6171A4B2">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我公司对被授权人签名的所有文件负全部责任。</w:t>
      </w:r>
    </w:p>
    <w:p w14:paraId="0B220395">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被授权人签署的所有文件（在授权书有效期内签署的）不因授权的撤销而失效，本授权书的有效期自招标开始至合同履行完毕止。</w:t>
      </w:r>
    </w:p>
    <w:p w14:paraId="0A81AF93">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被授权人无权转委托。</w:t>
      </w:r>
    </w:p>
    <w:p w14:paraId="297E13C5">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 xml:space="preserve"> </w:t>
      </w:r>
    </w:p>
    <w:p w14:paraId="75542EC4">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 xml:space="preserve"> </w:t>
      </w:r>
    </w:p>
    <w:p w14:paraId="243DD6BB">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 xml:space="preserve">被授权人（签字或盖章）：     性别：   年龄：   职务：     </w:t>
      </w:r>
    </w:p>
    <w:p w14:paraId="5BB1DE90">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 xml:space="preserve">身份证号码：                                      </w:t>
      </w:r>
    </w:p>
    <w:p w14:paraId="11301758">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 xml:space="preserve">通讯地址：                                        </w:t>
      </w:r>
    </w:p>
    <w:p w14:paraId="7F8F6EE2">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 xml:space="preserve">联系电话：                                        </w:t>
      </w:r>
    </w:p>
    <w:p w14:paraId="77A95005">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 xml:space="preserve">法定代表人或个体工商户经营者（签字或盖章）：                </w:t>
      </w:r>
    </w:p>
    <w:p w14:paraId="009AD222">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 xml:space="preserve">报价单位（盖章）：                                   </w:t>
      </w:r>
    </w:p>
    <w:p w14:paraId="08F418A2">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 xml:space="preserve">                     </w:t>
      </w:r>
    </w:p>
    <w:p w14:paraId="05C29A3C">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 xml:space="preserve">                                    年     月    日</w:t>
      </w:r>
    </w:p>
    <w:p w14:paraId="30248E3A">
      <w:pPr>
        <w:widowControl/>
        <w:spacing w:line="460" w:lineRule="exact"/>
        <w:rPr>
          <w:rFonts w:ascii="仿宋" w:hAnsi="仿宋" w:eastAsia="仿宋" w:cs="Times New Roman"/>
          <w:b/>
          <w:sz w:val="28"/>
          <w:szCs w:val="28"/>
          <w:shd w:val="clear" w:color="auto" w:fill="FFFFFF"/>
        </w:rPr>
      </w:pPr>
      <w:r>
        <w:rPr>
          <w:rFonts w:hint="eastAsia" w:ascii="仿宋" w:hAnsi="仿宋" w:eastAsia="仿宋" w:cs="Times New Roman"/>
          <w:b/>
          <w:sz w:val="28"/>
          <w:szCs w:val="28"/>
          <w:shd w:val="clear" w:color="auto" w:fill="FFFFFF"/>
        </w:rPr>
        <w:t xml:space="preserve"> </w:t>
      </w:r>
    </w:p>
    <w:p w14:paraId="5ADD289A">
      <w:pPr>
        <w:widowControl/>
        <w:spacing w:line="600" w:lineRule="exact"/>
        <w:ind w:firstLine="482" w:firstLineChars="200"/>
        <w:rPr>
          <w:rFonts w:ascii="宋体" w:hAnsi="宋体" w:eastAsia="宋体" w:cs="Times New Roman"/>
          <w:b/>
          <w:sz w:val="24"/>
          <w:szCs w:val="24"/>
        </w:rPr>
      </w:pPr>
      <w:r>
        <w:rPr>
          <w:rFonts w:hint="eastAsia" w:ascii="宋体" w:hAnsi="宋体" w:eastAsia="宋体" w:cs="Times New Roman"/>
          <w:b/>
          <w:sz w:val="24"/>
          <w:szCs w:val="24"/>
        </w:rPr>
        <w:t xml:space="preserve">注：提供被授权人的身份证正反面复印件 </w:t>
      </w:r>
    </w:p>
    <w:p w14:paraId="3228946F">
      <w:pPr>
        <w:widowControl/>
        <w:jc w:val="left"/>
        <w:rPr>
          <w:rFonts w:ascii="仿宋_GB2312" w:hAnsi="Calibri" w:eastAsia="仿宋_GB2312" w:cs="Times New Roman"/>
          <w:kern w:val="0"/>
          <w:sz w:val="28"/>
          <w:szCs w:val="28"/>
        </w:rPr>
      </w:pPr>
      <w:r>
        <w:rPr>
          <w:rFonts w:hint="eastAsia" w:ascii="仿宋" w:hAnsi="仿宋" w:eastAsia="仿宋" w:cs="Times New Roman"/>
          <w:b/>
          <w:sz w:val="28"/>
          <w:szCs w:val="28"/>
          <w:shd w:val="clear" w:color="auto" w:fill="FFFFFF"/>
        </w:rPr>
        <w:br w:type="page"/>
      </w:r>
    </w:p>
    <w:p w14:paraId="74550C6C">
      <w:pPr>
        <w:widowControl/>
        <w:spacing w:line="460" w:lineRule="exact"/>
        <w:jc w:val="left"/>
        <w:rPr>
          <w:rFonts w:ascii="宋体" w:hAnsi="宋体" w:eastAsia="宋体" w:cs="Times New Roman"/>
          <w:b/>
          <w:kern w:val="0"/>
          <w:sz w:val="28"/>
          <w:szCs w:val="28"/>
          <w:shd w:val="clear" w:color="auto" w:fill="FFFFFF"/>
        </w:rPr>
      </w:pPr>
      <w:r>
        <w:rPr>
          <w:rFonts w:hint="eastAsia" w:ascii="仿宋" w:hAnsi="仿宋" w:eastAsia="仿宋" w:cs="Times New Roman"/>
          <w:b/>
          <w:sz w:val="28"/>
          <w:szCs w:val="28"/>
          <w:shd w:val="clear" w:color="auto" w:fill="FFFFFF"/>
        </w:rPr>
        <w:t>附件四：</w:t>
      </w:r>
    </w:p>
    <w:p w14:paraId="5F375669">
      <w:pPr>
        <w:widowControl/>
        <w:spacing w:line="460" w:lineRule="exact"/>
        <w:jc w:val="center"/>
        <w:rPr>
          <w:rFonts w:ascii="宋体" w:hAnsi="宋体" w:eastAsia="宋体" w:cs="Times New Roman"/>
          <w:b/>
          <w:kern w:val="0"/>
          <w:sz w:val="28"/>
          <w:szCs w:val="28"/>
          <w:shd w:val="clear" w:color="auto" w:fill="FFFFFF"/>
        </w:rPr>
      </w:pPr>
      <w:r>
        <w:rPr>
          <w:rFonts w:hint="eastAsia" w:ascii="宋体" w:hAnsi="宋体" w:eastAsia="宋体" w:cs="Times New Roman"/>
          <w:b/>
          <w:kern w:val="0"/>
          <w:sz w:val="28"/>
          <w:szCs w:val="28"/>
          <w:shd w:val="clear" w:color="auto" w:fill="FFFFFF"/>
        </w:rPr>
        <w:t>启东市汇龙中学灭火器采购与安装项目报价明细表</w:t>
      </w:r>
    </w:p>
    <w:tbl>
      <w:tblPr>
        <w:tblStyle w:val="5"/>
        <w:tblW w:w="10718" w:type="dxa"/>
        <w:jc w:val="center"/>
        <w:tblLayout w:type="fixed"/>
        <w:tblCellMar>
          <w:top w:w="0" w:type="dxa"/>
          <w:left w:w="108" w:type="dxa"/>
          <w:bottom w:w="0" w:type="dxa"/>
          <w:right w:w="108" w:type="dxa"/>
        </w:tblCellMar>
      </w:tblPr>
      <w:tblGrid>
        <w:gridCol w:w="549"/>
        <w:gridCol w:w="1239"/>
        <w:gridCol w:w="5245"/>
        <w:gridCol w:w="567"/>
        <w:gridCol w:w="708"/>
        <w:gridCol w:w="783"/>
        <w:gridCol w:w="918"/>
        <w:gridCol w:w="709"/>
      </w:tblGrid>
      <w:tr w14:paraId="7B51B0BD">
        <w:tblPrEx>
          <w:tblCellMar>
            <w:top w:w="0" w:type="dxa"/>
            <w:left w:w="108" w:type="dxa"/>
            <w:bottom w:w="0" w:type="dxa"/>
            <w:right w:w="108" w:type="dxa"/>
          </w:tblCellMar>
        </w:tblPrEx>
        <w:trPr>
          <w:trHeight w:val="500" w:hRule="atLeast"/>
          <w:jc w:val="center"/>
        </w:trPr>
        <w:tc>
          <w:tcPr>
            <w:tcW w:w="549" w:type="dxa"/>
            <w:tcBorders>
              <w:top w:val="single" w:color="000000" w:sz="4" w:space="0"/>
              <w:left w:val="single" w:color="000000" w:sz="4" w:space="0"/>
              <w:bottom w:val="single" w:color="000000" w:sz="4" w:space="0"/>
              <w:right w:val="single" w:color="000000" w:sz="4" w:space="0"/>
            </w:tcBorders>
            <w:noWrap/>
            <w:vAlign w:val="center"/>
          </w:tcPr>
          <w:p w14:paraId="46C0F2CB">
            <w:pPr>
              <w:widowControl/>
              <w:jc w:val="center"/>
              <w:textAlignment w:val="center"/>
              <w:rPr>
                <w:rFonts w:ascii="Calibri" w:hAnsi="Calibri" w:eastAsia="宋体" w:cs="Calibri"/>
                <w:szCs w:val="21"/>
              </w:rPr>
            </w:pPr>
            <w:r>
              <w:rPr>
                <w:rFonts w:hint="eastAsia" w:ascii="宋体" w:hAnsi="宋体" w:eastAsia="宋体" w:cs="Times New Roman"/>
                <w:kern w:val="0"/>
                <w:szCs w:val="21"/>
              </w:rPr>
              <w:t>序号</w:t>
            </w:r>
          </w:p>
        </w:tc>
        <w:tc>
          <w:tcPr>
            <w:tcW w:w="1239" w:type="dxa"/>
            <w:tcBorders>
              <w:top w:val="single" w:color="000000" w:sz="4" w:space="0"/>
              <w:left w:val="nil"/>
              <w:bottom w:val="single" w:color="000000" w:sz="4" w:space="0"/>
              <w:right w:val="single" w:color="000000" w:sz="4" w:space="0"/>
            </w:tcBorders>
            <w:noWrap/>
            <w:vAlign w:val="center"/>
          </w:tcPr>
          <w:p w14:paraId="0D91F3C6">
            <w:pPr>
              <w:widowControl/>
              <w:jc w:val="center"/>
              <w:textAlignment w:val="center"/>
              <w:rPr>
                <w:rFonts w:ascii="Calibri" w:hAnsi="Calibri" w:eastAsia="宋体" w:cs="Calibri"/>
                <w:szCs w:val="21"/>
              </w:rPr>
            </w:pPr>
            <w:r>
              <w:rPr>
                <w:rFonts w:hint="eastAsia" w:ascii="宋体" w:hAnsi="宋体" w:eastAsia="宋体" w:cs="Times New Roman"/>
                <w:kern w:val="0"/>
                <w:szCs w:val="21"/>
              </w:rPr>
              <w:t>名称</w:t>
            </w:r>
          </w:p>
        </w:tc>
        <w:tc>
          <w:tcPr>
            <w:tcW w:w="5245" w:type="dxa"/>
            <w:tcBorders>
              <w:top w:val="single" w:color="000000" w:sz="4" w:space="0"/>
              <w:left w:val="nil"/>
              <w:bottom w:val="single" w:color="000000" w:sz="4" w:space="0"/>
              <w:right w:val="single" w:color="000000" w:sz="4" w:space="0"/>
            </w:tcBorders>
            <w:noWrap/>
            <w:vAlign w:val="center"/>
          </w:tcPr>
          <w:p w14:paraId="082218FE">
            <w:pPr>
              <w:widowControl/>
              <w:jc w:val="center"/>
              <w:textAlignment w:val="center"/>
              <w:rPr>
                <w:rFonts w:ascii="Calibri" w:hAnsi="Calibri" w:eastAsia="宋体" w:cs="Calibri"/>
                <w:szCs w:val="21"/>
              </w:rPr>
            </w:pPr>
            <w:r>
              <w:rPr>
                <w:rFonts w:hint="eastAsia" w:ascii="宋体" w:hAnsi="宋体" w:eastAsia="宋体" w:cs="Times New Roman"/>
                <w:kern w:val="0"/>
                <w:szCs w:val="21"/>
              </w:rPr>
              <w:t>规格和参数</w:t>
            </w:r>
          </w:p>
        </w:tc>
        <w:tc>
          <w:tcPr>
            <w:tcW w:w="567" w:type="dxa"/>
            <w:tcBorders>
              <w:top w:val="single" w:color="000000" w:sz="4" w:space="0"/>
              <w:left w:val="nil"/>
              <w:bottom w:val="single" w:color="000000" w:sz="4" w:space="0"/>
              <w:right w:val="single" w:color="000000" w:sz="4" w:space="0"/>
            </w:tcBorders>
            <w:noWrap/>
            <w:vAlign w:val="center"/>
          </w:tcPr>
          <w:p w14:paraId="5D64F7F5">
            <w:pPr>
              <w:widowControl/>
              <w:jc w:val="center"/>
              <w:textAlignment w:val="center"/>
              <w:rPr>
                <w:rFonts w:ascii="Calibri" w:hAnsi="Calibri" w:eastAsia="宋体" w:cs="Calibri"/>
                <w:szCs w:val="21"/>
              </w:rPr>
            </w:pPr>
            <w:r>
              <w:rPr>
                <w:rFonts w:hint="eastAsia" w:ascii="宋体" w:hAnsi="宋体" w:eastAsia="宋体" w:cs="Times New Roman"/>
                <w:kern w:val="0"/>
                <w:szCs w:val="21"/>
              </w:rPr>
              <w:t>单位</w:t>
            </w:r>
          </w:p>
        </w:tc>
        <w:tc>
          <w:tcPr>
            <w:tcW w:w="708" w:type="dxa"/>
            <w:tcBorders>
              <w:top w:val="single" w:color="000000" w:sz="4" w:space="0"/>
              <w:left w:val="nil"/>
              <w:bottom w:val="single" w:color="000000" w:sz="4" w:space="0"/>
              <w:right w:val="single" w:color="auto" w:sz="4" w:space="0"/>
            </w:tcBorders>
            <w:noWrap/>
            <w:vAlign w:val="center"/>
          </w:tcPr>
          <w:p w14:paraId="61F9A2C7">
            <w:pPr>
              <w:widowControl/>
              <w:jc w:val="center"/>
              <w:textAlignment w:val="center"/>
              <w:rPr>
                <w:rFonts w:ascii="Calibri" w:hAnsi="Calibri" w:eastAsia="宋体" w:cs="Calibri"/>
                <w:szCs w:val="21"/>
              </w:rPr>
            </w:pPr>
            <w:r>
              <w:rPr>
                <w:rFonts w:hint="eastAsia" w:ascii="宋体" w:hAnsi="宋体" w:eastAsia="宋体" w:cs="Times New Roman"/>
                <w:kern w:val="0"/>
                <w:szCs w:val="21"/>
              </w:rPr>
              <w:t>数量</w:t>
            </w:r>
          </w:p>
        </w:tc>
        <w:tc>
          <w:tcPr>
            <w:tcW w:w="783" w:type="dxa"/>
            <w:tcBorders>
              <w:top w:val="single" w:color="auto" w:sz="4" w:space="0"/>
              <w:left w:val="single" w:color="auto" w:sz="4" w:space="0"/>
              <w:bottom w:val="single" w:color="auto" w:sz="4" w:space="0"/>
              <w:right w:val="single" w:color="auto" w:sz="4" w:space="0"/>
            </w:tcBorders>
            <w:vAlign w:val="center"/>
          </w:tcPr>
          <w:p w14:paraId="2C7C2277">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单价（元）</w:t>
            </w:r>
          </w:p>
        </w:tc>
        <w:tc>
          <w:tcPr>
            <w:tcW w:w="918" w:type="dxa"/>
            <w:tcBorders>
              <w:top w:val="single" w:color="auto" w:sz="4" w:space="0"/>
              <w:left w:val="single" w:color="auto" w:sz="4" w:space="0"/>
              <w:bottom w:val="single" w:color="auto" w:sz="4" w:space="0"/>
              <w:right w:val="single" w:color="auto" w:sz="4" w:space="0"/>
            </w:tcBorders>
            <w:vAlign w:val="center"/>
          </w:tcPr>
          <w:p w14:paraId="6CBF2CD4">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总价（元）</w:t>
            </w:r>
          </w:p>
        </w:tc>
        <w:tc>
          <w:tcPr>
            <w:tcW w:w="709" w:type="dxa"/>
            <w:tcBorders>
              <w:top w:val="single" w:color="000000" w:sz="4" w:space="0"/>
              <w:left w:val="single" w:color="auto" w:sz="4" w:space="0"/>
              <w:bottom w:val="single" w:color="000000" w:sz="4" w:space="0"/>
              <w:right w:val="single" w:color="000000" w:sz="4" w:space="0"/>
            </w:tcBorders>
          </w:tcPr>
          <w:p w14:paraId="304815E6">
            <w:pPr>
              <w:widowControl/>
              <w:jc w:val="center"/>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投标货物品牌</w:t>
            </w:r>
          </w:p>
        </w:tc>
      </w:tr>
      <w:tr w14:paraId="10935494">
        <w:tblPrEx>
          <w:tblCellMar>
            <w:top w:w="0" w:type="dxa"/>
            <w:left w:w="108" w:type="dxa"/>
            <w:bottom w:w="0" w:type="dxa"/>
            <w:right w:w="108" w:type="dxa"/>
          </w:tblCellMar>
        </w:tblPrEx>
        <w:trPr>
          <w:trHeight w:val="500" w:hRule="atLeast"/>
          <w:jc w:val="center"/>
        </w:trPr>
        <w:tc>
          <w:tcPr>
            <w:tcW w:w="549" w:type="dxa"/>
            <w:tcBorders>
              <w:top w:val="single" w:color="000000" w:sz="4" w:space="0"/>
              <w:left w:val="single" w:color="000000" w:sz="4" w:space="0"/>
              <w:bottom w:val="single" w:color="000000" w:sz="4" w:space="0"/>
              <w:right w:val="single" w:color="000000" w:sz="4" w:space="0"/>
            </w:tcBorders>
            <w:noWrap/>
            <w:vAlign w:val="center"/>
          </w:tcPr>
          <w:p w14:paraId="18A0A9F1">
            <w:pPr>
              <w:widowControl/>
              <w:jc w:val="center"/>
              <w:textAlignment w:val="center"/>
              <w:rPr>
                <w:rFonts w:ascii="宋体" w:hAnsi="宋体" w:eastAsia="宋体" w:cs="Times New Roman"/>
                <w:kern w:val="0"/>
                <w:szCs w:val="21"/>
              </w:rPr>
            </w:pPr>
            <w:r>
              <w:rPr>
                <w:rFonts w:ascii="宋体" w:hAnsi="宋体" w:eastAsia="宋体" w:cs="Times New Roman"/>
                <w:kern w:val="0"/>
                <w:szCs w:val="21"/>
              </w:rPr>
              <w:t>1</w:t>
            </w:r>
          </w:p>
        </w:tc>
        <w:tc>
          <w:tcPr>
            <w:tcW w:w="1239" w:type="dxa"/>
            <w:tcBorders>
              <w:top w:val="single" w:color="000000" w:sz="4" w:space="0"/>
              <w:left w:val="nil"/>
              <w:bottom w:val="single" w:color="000000" w:sz="4" w:space="0"/>
              <w:right w:val="single" w:color="000000" w:sz="4" w:space="0"/>
            </w:tcBorders>
            <w:noWrap/>
            <w:vAlign w:val="center"/>
          </w:tcPr>
          <w:p w14:paraId="7F671D92">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手提式干粉灭火器（4公斤MF/ABCE4）</w:t>
            </w:r>
          </w:p>
        </w:tc>
        <w:tc>
          <w:tcPr>
            <w:tcW w:w="5245" w:type="dxa"/>
            <w:tcBorders>
              <w:top w:val="single" w:color="000000" w:sz="4" w:space="0"/>
              <w:left w:val="nil"/>
              <w:bottom w:val="single" w:color="000000" w:sz="4" w:space="0"/>
              <w:right w:val="single" w:color="000000" w:sz="4" w:space="0"/>
            </w:tcBorders>
            <w:noWrap/>
            <w:vAlign w:val="center"/>
          </w:tcPr>
          <w:p w14:paraId="35371102">
            <w:pPr>
              <w:pStyle w:val="9"/>
              <w:kinsoku w:val="0"/>
              <w:overflowPunct w:val="0"/>
              <w:spacing w:before="35"/>
              <w:ind w:right="1"/>
              <w:rPr>
                <w:rFonts w:ascii="宋体" w:hAnsi="宋体"/>
                <w:sz w:val="21"/>
                <w:szCs w:val="21"/>
              </w:rPr>
            </w:pPr>
            <w:r>
              <w:rPr>
                <w:rFonts w:hint="eastAsia" w:ascii="宋体" w:hAnsi="宋体"/>
                <w:sz w:val="21"/>
                <w:szCs w:val="21"/>
              </w:rPr>
              <w:t>1、灭火剂的种类：干粉灭火剂</w:t>
            </w:r>
          </w:p>
          <w:p w14:paraId="02036266">
            <w:pPr>
              <w:pStyle w:val="9"/>
              <w:kinsoku w:val="0"/>
              <w:overflowPunct w:val="0"/>
              <w:spacing w:before="35"/>
              <w:ind w:right="1"/>
              <w:rPr>
                <w:rFonts w:ascii="宋体" w:hAnsi="宋体"/>
                <w:sz w:val="21"/>
                <w:szCs w:val="21"/>
              </w:rPr>
            </w:pPr>
            <w:r>
              <w:rPr>
                <w:rFonts w:hint="eastAsia" w:ascii="宋体" w:hAnsi="宋体"/>
                <w:sz w:val="21"/>
                <w:szCs w:val="21"/>
              </w:rPr>
              <w:t>ABC-NH4 H2PO4 (75%)+(NH4)2SO4(15%)</w:t>
            </w:r>
          </w:p>
          <w:p w14:paraId="0E6BE31E">
            <w:pPr>
              <w:pStyle w:val="9"/>
              <w:kinsoku w:val="0"/>
              <w:overflowPunct w:val="0"/>
              <w:spacing w:before="35"/>
              <w:ind w:right="1"/>
              <w:rPr>
                <w:rFonts w:ascii="宋体" w:hAnsi="宋体"/>
                <w:sz w:val="21"/>
                <w:szCs w:val="21"/>
              </w:rPr>
            </w:pPr>
            <w:r>
              <w:rPr>
                <w:rFonts w:hint="eastAsia" w:ascii="宋体" w:hAnsi="宋体"/>
                <w:sz w:val="21"/>
                <w:szCs w:val="21"/>
              </w:rPr>
              <w:t xml:space="preserve">2、产品认证实施规则：CNCA -C18-03:2014  </w:t>
            </w:r>
          </w:p>
          <w:p w14:paraId="7D7B7B9B">
            <w:pPr>
              <w:pStyle w:val="9"/>
              <w:kinsoku w:val="0"/>
              <w:overflowPunct w:val="0"/>
              <w:spacing w:before="35"/>
              <w:ind w:right="1"/>
              <w:rPr>
                <w:rFonts w:ascii="宋体" w:hAnsi="宋体"/>
                <w:sz w:val="21"/>
                <w:szCs w:val="21"/>
              </w:rPr>
            </w:pPr>
            <w:r>
              <w:rPr>
                <w:rFonts w:hint="eastAsia" w:ascii="宋体" w:hAnsi="宋体"/>
                <w:sz w:val="21"/>
                <w:szCs w:val="21"/>
              </w:rPr>
              <w:t>3、产品认证实施细则： CCCF-MHSB -06</w:t>
            </w:r>
          </w:p>
          <w:p w14:paraId="57300046">
            <w:pPr>
              <w:pStyle w:val="9"/>
              <w:kinsoku w:val="0"/>
              <w:overflowPunct w:val="0"/>
              <w:spacing w:before="35"/>
              <w:ind w:right="1"/>
              <w:rPr>
                <w:rFonts w:ascii="宋体" w:hAnsi="宋体"/>
                <w:sz w:val="21"/>
                <w:szCs w:val="21"/>
              </w:rPr>
            </w:pPr>
            <w:r>
              <w:rPr>
                <w:rFonts w:hint="eastAsia" w:ascii="宋体" w:hAnsi="宋体"/>
                <w:sz w:val="21"/>
                <w:szCs w:val="21"/>
              </w:rPr>
              <w:t>4、产品标准：GB 4351-2023</w:t>
            </w:r>
          </w:p>
          <w:p w14:paraId="18C131D9">
            <w:pPr>
              <w:pStyle w:val="9"/>
              <w:kinsoku w:val="0"/>
              <w:overflowPunct w:val="0"/>
              <w:spacing w:before="35"/>
              <w:ind w:right="1"/>
              <w:rPr>
                <w:rFonts w:ascii="宋体" w:hAnsi="宋体"/>
                <w:sz w:val="21"/>
                <w:szCs w:val="21"/>
              </w:rPr>
            </w:pPr>
            <w:r>
              <w:rPr>
                <w:rFonts w:hint="eastAsia" w:ascii="宋体" w:hAnsi="宋体"/>
                <w:sz w:val="21"/>
                <w:szCs w:val="21"/>
              </w:rPr>
              <w:t>5、灭火器灭火级别：2A 55B C E</w:t>
            </w:r>
          </w:p>
          <w:p w14:paraId="6A4D5069">
            <w:pPr>
              <w:pStyle w:val="9"/>
              <w:kinsoku w:val="0"/>
              <w:overflowPunct w:val="0"/>
              <w:spacing w:before="35"/>
              <w:ind w:right="1"/>
              <w:rPr>
                <w:rFonts w:ascii="宋体" w:hAnsi="宋体"/>
                <w:sz w:val="21"/>
                <w:szCs w:val="21"/>
              </w:rPr>
            </w:pPr>
            <w:r>
              <w:rPr>
                <w:rFonts w:hint="eastAsia" w:ascii="宋体" w:hAnsi="宋体"/>
                <w:sz w:val="21"/>
                <w:szCs w:val="21"/>
              </w:rPr>
              <w:t>6、灭火器使用温度范围：-20~+60℃</w:t>
            </w:r>
          </w:p>
          <w:p w14:paraId="01F87FE7">
            <w:pPr>
              <w:pStyle w:val="9"/>
              <w:kinsoku w:val="0"/>
              <w:overflowPunct w:val="0"/>
              <w:spacing w:before="35"/>
              <w:ind w:right="1"/>
              <w:rPr>
                <w:rFonts w:ascii="宋体" w:hAnsi="宋体"/>
                <w:sz w:val="21"/>
                <w:szCs w:val="21"/>
              </w:rPr>
            </w:pPr>
            <w:r>
              <w:rPr>
                <w:rFonts w:hint="eastAsia" w:ascii="宋体" w:hAnsi="宋体"/>
                <w:sz w:val="21"/>
                <w:szCs w:val="21"/>
              </w:rPr>
              <w:t>7、灭火器驱动气体名称和数量或压力：氮气、≥99%、1.2MPa(20℃)</w:t>
            </w:r>
          </w:p>
          <w:p w14:paraId="3ED75661">
            <w:pPr>
              <w:pStyle w:val="9"/>
              <w:kinsoku w:val="0"/>
              <w:overflowPunct w:val="0"/>
              <w:spacing w:before="35"/>
              <w:ind w:right="1"/>
              <w:rPr>
                <w:rFonts w:ascii="宋体" w:hAnsi="宋体"/>
                <w:sz w:val="21"/>
                <w:szCs w:val="21"/>
              </w:rPr>
            </w:pPr>
            <w:r>
              <w:rPr>
                <w:rFonts w:hint="eastAsia" w:ascii="宋体" w:hAnsi="宋体"/>
                <w:sz w:val="21"/>
                <w:szCs w:val="21"/>
              </w:rPr>
              <w:t>8、水压试验压力：2.1MPa</w:t>
            </w:r>
          </w:p>
          <w:p w14:paraId="2770BC5B">
            <w:pPr>
              <w:pStyle w:val="9"/>
              <w:kinsoku w:val="0"/>
              <w:overflowPunct w:val="0"/>
              <w:spacing w:before="35"/>
              <w:ind w:right="1"/>
              <w:rPr>
                <w:rFonts w:ascii="宋体" w:hAnsi="宋体"/>
                <w:sz w:val="21"/>
                <w:szCs w:val="21"/>
              </w:rPr>
            </w:pPr>
            <w:r>
              <w:rPr>
                <w:rFonts w:hint="eastAsia" w:ascii="宋体" w:hAnsi="宋体"/>
                <w:sz w:val="21"/>
                <w:szCs w:val="21"/>
              </w:rPr>
              <w:t>9、 电绝缘性：5KV</w:t>
            </w:r>
          </w:p>
          <w:p w14:paraId="6F229ACE">
            <w:pPr>
              <w:pStyle w:val="9"/>
              <w:kinsoku w:val="0"/>
              <w:overflowPunct w:val="0"/>
              <w:spacing w:before="35"/>
              <w:ind w:right="1"/>
              <w:rPr>
                <w:rFonts w:ascii="宋体" w:hAnsi="宋体"/>
                <w:sz w:val="21"/>
                <w:szCs w:val="21"/>
              </w:rPr>
            </w:pPr>
            <w:r>
              <w:rPr>
                <w:rFonts w:hint="eastAsia" w:ascii="宋体" w:hAnsi="宋体"/>
                <w:sz w:val="21"/>
                <w:szCs w:val="21"/>
              </w:rPr>
              <w:t>10、最小有效喷射时间：≥13±3s</w:t>
            </w:r>
          </w:p>
          <w:p w14:paraId="0B8B4353">
            <w:pPr>
              <w:pStyle w:val="9"/>
              <w:kinsoku w:val="0"/>
              <w:overflowPunct w:val="0"/>
              <w:spacing w:before="35"/>
              <w:ind w:right="1"/>
              <w:rPr>
                <w:rFonts w:ascii="宋体" w:hAnsi="宋体"/>
                <w:sz w:val="21"/>
                <w:szCs w:val="21"/>
              </w:rPr>
            </w:pPr>
            <w:r>
              <w:rPr>
                <w:rFonts w:hint="eastAsia" w:ascii="宋体" w:hAnsi="宋体"/>
                <w:sz w:val="21"/>
                <w:szCs w:val="21"/>
              </w:rPr>
              <w:t>11、最小喷射距离：≥3m</w:t>
            </w:r>
          </w:p>
          <w:p w14:paraId="5DF814A7">
            <w:pPr>
              <w:pStyle w:val="9"/>
              <w:kinsoku w:val="0"/>
              <w:overflowPunct w:val="0"/>
              <w:spacing w:before="35"/>
              <w:ind w:right="1"/>
              <w:rPr>
                <w:rFonts w:ascii="宋体" w:hAnsi="宋体"/>
                <w:sz w:val="21"/>
                <w:szCs w:val="21"/>
              </w:rPr>
            </w:pPr>
            <w:r>
              <w:rPr>
                <w:rFonts w:hint="eastAsia" w:ascii="宋体" w:hAnsi="宋体"/>
                <w:sz w:val="21"/>
                <w:szCs w:val="21"/>
              </w:rPr>
              <w:t>12、灭火剂净重量：4KG</w:t>
            </w:r>
          </w:p>
          <w:p w14:paraId="5194CE7A">
            <w:pPr>
              <w:pStyle w:val="9"/>
              <w:kinsoku w:val="0"/>
              <w:overflowPunct w:val="0"/>
              <w:spacing w:before="35"/>
              <w:ind w:right="1"/>
              <w:rPr>
                <w:rFonts w:ascii="宋体" w:hAnsi="宋体"/>
                <w:sz w:val="21"/>
                <w:szCs w:val="21"/>
              </w:rPr>
            </w:pPr>
            <w:r>
              <w:rPr>
                <w:rFonts w:hint="eastAsia" w:ascii="宋体" w:hAnsi="宋体"/>
                <w:sz w:val="21"/>
                <w:szCs w:val="21"/>
              </w:rPr>
              <w:t>13、筒体壁厚：≥1.14mm</w:t>
            </w:r>
            <w:r>
              <w:rPr>
                <w:rFonts w:hint="eastAsia" w:ascii="宋体" w:hAnsi="宋体"/>
                <w:sz w:val="21"/>
                <w:szCs w:val="21"/>
              </w:rPr>
              <w:tab/>
            </w:r>
            <w:r>
              <w:rPr>
                <w:rFonts w:hint="eastAsia" w:ascii="宋体" w:hAnsi="宋体"/>
                <w:sz w:val="21"/>
                <w:szCs w:val="21"/>
              </w:rPr>
              <w:t>碳钢</w:t>
            </w:r>
          </w:p>
          <w:p w14:paraId="1B5D2CBD">
            <w:pPr>
              <w:pStyle w:val="9"/>
              <w:kinsoku w:val="0"/>
              <w:overflowPunct w:val="0"/>
              <w:spacing w:before="35"/>
              <w:ind w:right="1"/>
              <w:rPr>
                <w:rFonts w:ascii="宋体" w:hAnsi="宋体"/>
                <w:sz w:val="21"/>
                <w:szCs w:val="21"/>
              </w:rPr>
            </w:pPr>
            <w:r>
              <w:rPr>
                <w:rFonts w:hint="eastAsia" w:ascii="宋体" w:hAnsi="宋体"/>
                <w:sz w:val="21"/>
                <w:szCs w:val="21"/>
              </w:rPr>
              <w:t>14、灭火器高度≤51cm</w:t>
            </w:r>
          </w:p>
          <w:p w14:paraId="7F8C385B">
            <w:pPr>
              <w:widowControl/>
              <w:spacing w:line="300" w:lineRule="exact"/>
              <w:jc w:val="left"/>
              <w:rPr>
                <w:rFonts w:ascii="宋体" w:hAnsi="宋体" w:eastAsia="宋体" w:cs="Times New Roman"/>
                <w:kern w:val="0"/>
                <w:szCs w:val="21"/>
              </w:rPr>
            </w:pPr>
            <w:r>
              <w:rPr>
                <w:rFonts w:hint="eastAsia" w:ascii="宋体" w:hAnsi="宋体" w:eastAsia="宋体" w:cs="Times New Roman"/>
                <w:kern w:val="0"/>
                <w:szCs w:val="21"/>
              </w:rPr>
              <w:t>★</w:t>
            </w:r>
            <w:r>
              <w:rPr>
                <w:rFonts w:hint="eastAsia" w:ascii="宋体" w:hAnsi="宋体" w:eastAsia="宋体" w:cs="Times New Roman"/>
                <w:b/>
                <w:kern w:val="0"/>
                <w:szCs w:val="21"/>
              </w:rPr>
              <w:t>瓶身须有：①3C认证标志，②按消防规定贴S码A签、B签、二维码可直接扫一扫进入官网查询真伪，③出厂合格证明。</w:t>
            </w:r>
          </w:p>
        </w:tc>
        <w:tc>
          <w:tcPr>
            <w:tcW w:w="567" w:type="dxa"/>
            <w:tcBorders>
              <w:top w:val="single" w:color="000000" w:sz="4" w:space="0"/>
              <w:left w:val="nil"/>
              <w:bottom w:val="single" w:color="000000" w:sz="4" w:space="0"/>
              <w:right w:val="single" w:color="000000" w:sz="4" w:space="0"/>
            </w:tcBorders>
            <w:noWrap/>
            <w:vAlign w:val="center"/>
          </w:tcPr>
          <w:p w14:paraId="0D9D2755">
            <w:pPr>
              <w:widowControl/>
              <w:jc w:val="center"/>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个</w:t>
            </w:r>
          </w:p>
        </w:tc>
        <w:tc>
          <w:tcPr>
            <w:tcW w:w="708" w:type="dxa"/>
            <w:tcBorders>
              <w:top w:val="single" w:color="000000" w:sz="4" w:space="0"/>
              <w:left w:val="nil"/>
              <w:bottom w:val="single" w:color="000000" w:sz="4" w:space="0"/>
              <w:right w:val="single" w:color="auto" w:sz="4" w:space="0"/>
            </w:tcBorders>
            <w:noWrap/>
            <w:vAlign w:val="center"/>
          </w:tcPr>
          <w:p w14:paraId="3A4B8EB6">
            <w:pPr>
              <w:widowControl/>
              <w:jc w:val="center"/>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573</w:t>
            </w:r>
          </w:p>
        </w:tc>
        <w:tc>
          <w:tcPr>
            <w:tcW w:w="783" w:type="dxa"/>
            <w:tcBorders>
              <w:top w:val="single" w:color="auto" w:sz="4" w:space="0"/>
              <w:left w:val="single" w:color="auto" w:sz="4" w:space="0"/>
              <w:bottom w:val="single" w:color="auto" w:sz="4" w:space="0"/>
              <w:right w:val="single" w:color="auto" w:sz="4" w:space="0"/>
            </w:tcBorders>
          </w:tcPr>
          <w:p w14:paraId="062CD061">
            <w:pPr>
              <w:widowControl/>
              <w:jc w:val="center"/>
              <w:textAlignment w:val="center"/>
              <w:rPr>
                <w:rFonts w:ascii="宋体" w:hAnsi="宋体" w:eastAsia="宋体" w:cs="Times New Roman"/>
                <w:kern w:val="0"/>
                <w:sz w:val="24"/>
                <w:szCs w:val="24"/>
              </w:rPr>
            </w:pPr>
          </w:p>
        </w:tc>
        <w:tc>
          <w:tcPr>
            <w:tcW w:w="918" w:type="dxa"/>
            <w:tcBorders>
              <w:top w:val="single" w:color="auto" w:sz="4" w:space="0"/>
              <w:left w:val="single" w:color="auto" w:sz="4" w:space="0"/>
              <w:bottom w:val="single" w:color="auto" w:sz="4" w:space="0"/>
              <w:right w:val="single" w:color="auto" w:sz="4" w:space="0"/>
            </w:tcBorders>
          </w:tcPr>
          <w:p w14:paraId="4B5BDD3F">
            <w:pPr>
              <w:widowControl/>
              <w:jc w:val="center"/>
              <w:textAlignment w:val="center"/>
              <w:rPr>
                <w:rFonts w:ascii="宋体" w:hAnsi="宋体" w:eastAsia="宋体" w:cs="Times New Roman"/>
                <w:kern w:val="0"/>
                <w:sz w:val="24"/>
                <w:szCs w:val="24"/>
              </w:rPr>
            </w:pPr>
          </w:p>
        </w:tc>
        <w:tc>
          <w:tcPr>
            <w:tcW w:w="709" w:type="dxa"/>
            <w:tcBorders>
              <w:top w:val="single" w:color="000000" w:sz="4" w:space="0"/>
              <w:left w:val="single" w:color="auto" w:sz="4" w:space="0"/>
              <w:bottom w:val="single" w:color="000000" w:sz="4" w:space="0"/>
              <w:right w:val="single" w:color="000000" w:sz="4" w:space="0"/>
            </w:tcBorders>
          </w:tcPr>
          <w:p w14:paraId="174041C2">
            <w:pPr>
              <w:widowControl/>
              <w:jc w:val="center"/>
              <w:textAlignment w:val="center"/>
              <w:rPr>
                <w:rFonts w:ascii="宋体" w:hAnsi="宋体" w:eastAsia="宋体" w:cs="Times New Roman"/>
                <w:kern w:val="0"/>
                <w:sz w:val="24"/>
                <w:szCs w:val="24"/>
              </w:rPr>
            </w:pPr>
          </w:p>
        </w:tc>
      </w:tr>
      <w:tr w14:paraId="11FC7B15">
        <w:tblPrEx>
          <w:tblCellMar>
            <w:top w:w="0" w:type="dxa"/>
            <w:left w:w="108" w:type="dxa"/>
            <w:bottom w:w="0" w:type="dxa"/>
            <w:right w:w="108" w:type="dxa"/>
          </w:tblCellMar>
        </w:tblPrEx>
        <w:trPr>
          <w:trHeight w:val="500" w:hRule="atLeast"/>
          <w:jc w:val="center"/>
        </w:trPr>
        <w:tc>
          <w:tcPr>
            <w:tcW w:w="549" w:type="dxa"/>
            <w:tcBorders>
              <w:top w:val="single" w:color="000000" w:sz="4" w:space="0"/>
              <w:left w:val="single" w:color="000000" w:sz="4" w:space="0"/>
              <w:bottom w:val="single" w:color="000000" w:sz="4" w:space="0"/>
              <w:right w:val="single" w:color="000000" w:sz="4" w:space="0"/>
            </w:tcBorders>
            <w:noWrap/>
            <w:vAlign w:val="center"/>
          </w:tcPr>
          <w:p w14:paraId="69115A6C">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2</w:t>
            </w:r>
          </w:p>
        </w:tc>
        <w:tc>
          <w:tcPr>
            <w:tcW w:w="1239" w:type="dxa"/>
            <w:tcBorders>
              <w:top w:val="single" w:color="000000" w:sz="4" w:space="0"/>
              <w:left w:val="nil"/>
              <w:bottom w:val="single" w:color="000000" w:sz="4" w:space="0"/>
              <w:right w:val="single" w:color="000000" w:sz="4" w:space="0"/>
            </w:tcBorders>
            <w:noWrap/>
            <w:vAlign w:val="center"/>
          </w:tcPr>
          <w:p w14:paraId="5AFDC6C4">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手提式干粉灭火器（8公斤MF/ABCE8）</w:t>
            </w:r>
          </w:p>
        </w:tc>
        <w:tc>
          <w:tcPr>
            <w:tcW w:w="5245" w:type="dxa"/>
            <w:tcBorders>
              <w:top w:val="single" w:color="000000" w:sz="4" w:space="0"/>
              <w:left w:val="nil"/>
              <w:bottom w:val="single" w:color="000000" w:sz="4" w:space="0"/>
              <w:right w:val="single" w:color="000000" w:sz="4" w:space="0"/>
            </w:tcBorders>
            <w:noWrap/>
            <w:vAlign w:val="center"/>
          </w:tcPr>
          <w:p w14:paraId="57F9BDFA">
            <w:pPr>
              <w:widowControl/>
              <w:jc w:val="left"/>
              <w:textAlignment w:val="center"/>
              <w:rPr>
                <w:rFonts w:ascii="宋体" w:hAnsi="宋体" w:eastAsia="宋体" w:cs="Times New Roman"/>
                <w:kern w:val="0"/>
                <w:szCs w:val="21"/>
              </w:rPr>
            </w:pPr>
            <w:r>
              <w:rPr>
                <w:rFonts w:hint="eastAsia" w:ascii="宋体" w:hAnsi="宋体" w:eastAsia="宋体" w:cs="Times New Roman"/>
                <w:kern w:val="0"/>
                <w:sz w:val="24"/>
                <w:szCs w:val="24"/>
              </w:rPr>
              <w:t>1</w:t>
            </w:r>
            <w:r>
              <w:rPr>
                <w:rFonts w:hint="eastAsia" w:ascii="宋体" w:hAnsi="宋体" w:eastAsia="宋体" w:cs="Times New Roman"/>
                <w:kern w:val="0"/>
                <w:szCs w:val="21"/>
              </w:rPr>
              <w:t>、灭火剂的种类：干粉灭火剂</w:t>
            </w:r>
          </w:p>
          <w:p w14:paraId="36E98A08">
            <w:pPr>
              <w:widowControl/>
              <w:jc w:val="left"/>
              <w:textAlignment w:val="center"/>
              <w:rPr>
                <w:rFonts w:ascii="宋体" w:hAnsi="宋体" w:eastAsia="宋体" w:cs="Times New Roman"/>
                <w:kern w:val="0"/>
                <w:szCs w:val="21"/>
              </w:rPr>
            </w:pPr>
            <w:r>
              <w:rPr>
                <w:rFonts w:hint="eastAsia" w:ascii="宋体" w:hAnsi="宋体" w:eastAsia="宋体" w:cs="Times New Roman"/>
                <w:kern w:val="0"/>
                <w:szCs w:val="21"/>
              </w:rPr>
              <w:t>ABC-NH4 H2PO4 (75%)+(NH4)2SO4(15%)</w:t>
            </w:r>
            <w:r>
              <w:rPr>
                <w:rFonts w:hint="eastAsia" w:ascii="宋体" w:hAnsi="宋体" w:eastAsia="宋体" w:cs="Times New Roman"/>
                <w:kern w:val="0"/>
                <w:szCs w:val="21"/>
              </w:rPr>
              <w:br w:type="textWrapping"/>
            </w:r>
            <w:r>
              <w:rPr>
                <w:rFonts w:hint="eastAsia" w:ascii="宋体" w:hAnsi="宋体" w:eastAsia="宋体" w:cs="Times New Roman"/>
                <w:kern w:val="0"/>
                <w:szCs w:val="21"/>
              </w:rPr>
              <w:t>2、产品认证实施规则：CNCA -C18-03:2014</w:t>
            </w:r>
          </w:p>
          <w:p w14:paraId="76AACA2F">
            <w:pPr>
              <w:widowControl/>
              <w:numPr>
                <w:ilvl w:val="0"/>
                <w:numId w:val="1"/>
              </w:numPr>
              <w:jc w:val="left"/>
              <w:textAlignment w:val="center"/>
              <w:rPr>
                <w:rFonts w:ascii="宋体" w:hAnsi="宋体" w:eastAsia="宋体" w:cs="Times New Roman"/>
                <w:kern w:val="0"/>
                <w:szCs w:val="21"/>
              </w:rPr>
            </w:pPr>
            <w:r>
              <w:rPr>
                <w:rFonts w:hint="eastAsia" w:ascii="宋体" w:hAnsi="宋体" w:eastAsia="宋体" w:cs="Times New Roman"/>
                <w:kern w:val="0"/>
                <w:szCs w:val="21"/>
              </w:rPr>
              <w:t>产品认证实施细则： CCCF-MHSB -06</w:t>
            </w:r>
          </w:p>
          <w:p w14:paraId="7D0D1958">
            <w:pPr>
              <w:widowControl/>
              <w:numPr>
                <w:ilvl w:val="0"/>
                <w:numId w:val="1"/>
              </w:numPr>
              <w:jc w:val="left"/>
              <w:textAlignment w:val="center"/>
              <w:rPr>
                <w:rFonts w:ascii="宋体" w:hAnsi="宋体" w:eastAsia="宋体" w:cs="Times New Roman"/>
                <w:kern w:val="0"/>
                <w:szCs w:val="21"/>
              </w:rPr>
            </w:pPr>
            <w:r>
              <w:rPr>
                <w:rFonts w:hint="eastAsia" w:ascii="宋体" w:hAnsi="宋体" w:eastAsia="宋体" w:cs="Times New Roman"/>
                <w:kern w:val="0"/>
                <w:szCs w:val="21"/>
              </w:rPr>
              <w:t>4产品标准：GB 4351-2023</w:t>
            </w:r>
          </w:p>
          <w:p w14:paraId="3584D635">
            <w:pPr>
              <w:widowControl/>
              <w:jc w:val="left"/>
              <w:textAlignment w:val="center"/>
              <w:rPr>
                <w:rFonts w:ascii="宋体" w:hAnsi="宋体" w:eastAsia="宋体" w:cs="Times New Roman"/>
                <w:kern w:val="0"/>
                <w:szCs w:val="21"/>
              </w:rPr>
            </w:pPr>
            <w:r>
              <w:rPr>
                <w:rFonts w:hint="eastAsia" w:ascii="宋体" w:hAnsi="宋体" w:eastAsia="宋体" w:cs="Times New Roman"/>
                <w:kern w:val="0"/>
                <w:szCs w:val="21"/>
              </w:rPr>
              <w:t>5、灭火器灭火级别：4A 144B C E</w:t>
            </w:r>
          </w:p>
          <w:p w14:paraId="3BBC9E1B">
            <w:pPr>
              <w:widowControl/>
              <w:jc w:val="left"/>
              <w:textAlignment w:val="center"/>
              <w:rPr>
                <w:rFonts w:ascii="宋体" w:hAnsi="宋体" w:eastAsia="宋体" w:cs="Times New Roman"/>
                <w:kern w:val="0"/>
                <w:szCs w:val="21"/>
              </w:rPr>
            </w:pPr>
            <w:r>
              <w:rPr>
                <w:rFonts w:hint="eastAsia" w:ascii="宋体" w:hAnsi="宋体" w:eastAsia="宋体" w:cs="Times New Roman"/>
                <w:kern w:val="0"/>
                <w:szCs w:val="21"/>
              </w:rPr>
              <w:t>6、灭火器使用温度范围：-20~+60℃</w:t>
            </w:r>
          </w:p>
          <w:p w14:paraId="5B0BEE1A">
            <w:pPr>
              <w:widowControl/>
              <w:jc w:val="left"/>
              <w:textAlignment w:val="center"/>
              <w:rPr>
                <w:rFonts w:ascii="宋体" w:hAnsi="宋体" w:eastAsia="宋体" w:cs="Times New Roman"/>
                <w:kern w:val="0"/>
                <w:szCs w:val="21"/>
              </w:rPr>
            </w:pPr>
            <w:r>
              <w:rPr>
                <w:rFonts w:hint="eastAsia" w:ascii="宋体" w:hAnsi="宋体" w:eastAsia="宋体" w:cs="Times New Roman"/>
                <w:kern w:val="0"/>
                <w:szCs w:val="21"/>
              </w:rPr>
              <w:t>7、灭火器驱动气体名称和数量或压力：氮气、≥99%、1.2MPa(20℃)</w:t>
            </w:r>
          </w:p>
          <w:p w14:paraId="28A9FEF2">
            <w:pPr>
              <w:widowControl/>
              <w:jc w:val="left"/>
              <w:textAlignment w:val="center"/>
              <w:rPr>
                <w:rFonts w:ascii="宋体" w:hAnsi="宋体" w:eastAsia="宋体" w:cs="Times New Roman"/>
                <w:kern w:val="0"/>
                <w:szCs w:val="21"/>
              </w:rPr>
            </w:pPr>
            <w:r>
              <w:rPr>
                <w:rFonts w:hint="eastAsia" w:ascii="宋体" w:hAnsi="宋体" w:eastAsia="宋体" w:cs="Times New Roman"/>
                <w:kern w:val="0"/>
                <w:szCs w:val="21"/>
              </w:rPr>
              <w:t>8、水压试验压力：2.1MPa</w:t>
            </w:r>
          </w:p>
          <w:p w14:paraId="2546F88A">
            <w:pPr>
              <w:widowControl/>
              <w:jc w:val="left"/>
              <w:textAlignment w:val="center"/>
              <w:rPr>
                <w:rFonts w:ascii="宋体" w:hAnsi="宋体" w:eastAsia="宋体" w:cs="Times New Roman"/>
                <w:kern w:val="0"/>
                <w:szCs w:val="21"/>
              </w:rPr>
            </w:pPr>
            <w:r>
              <w:rPr>
                <w:rFonts w:hint="eastAsia" w:ascii="宋体" w:hAnsi="宋体" w:eastAsia="宋体" w:cs="Times New Roman"/>
                <w:kern w:val="0"/>
                <w:szCs w:val="21"/>
              </w:rPr>
              <w:t>9、 电绝缘性：5KV</w:t>
            </w:r>
          </w:p>
          <w:p w14:paraId="33954905">
            <w:pPr>
              <w:widowControl/>
              <w:jc w:val="left"/>
              <w:textAlignment w:val="center"/>
              <w:rPr>
                <w:rFonts w:ascii="宋体" w:hAnsi="宋体" w:eastAsia="宋体" w:cs="Times New Roman"/>
                <w:kern w:val="0"/>
                <w:szCs w:val="21"/>
              </w:rPr>
            </w:pPr>
            <w:r>
              <w:rPr>
                <w:rFonts w:hint="eastAsia" w:ascii="宋体" w:hAnsi="宋体" w:eastAsia="宋体" w:cs="Times New Roman"/>
                <w:kern w:val="0"/>
                <w:szCs w:val="21"/>
              </w:rPr>
              <w:t>10、最小有效喷射时间：≥22±3s</w:t>
            </w:r>
          </w:p>
          <w:p w14:paraId="6C7C96BE">
            <w:pPr>
              <w:widowControl/>
              <w:jc w:val="left"/>
              <w:textAlignment w:val="center"/>
              <w:rPr>
                <w:rFonts w:ascii="宋体" w:hAnsi="宋体" w:eastAsia="宋体" w:cs="Times New Roman"/>
                <w:kern w:val="0"/>
                <w:szCs w:val="21"/>
              </w:rPr>
            </w:pPr>
            <w:r>
              <w:rPr>
                <w:rFonts w:hint="eastAsia" w:ascii="宋体" w:hAnsi="宋体" w:eastAsia="宋体" w:cs="Times New Roman"/>
                <w:kern w:val="0"/>
                <w:szCs w:val="21"/>
              </w:rPr>
              <w:t>11、最小喷射距离：≥4m</w:t>
            </w:r>
          </w:p>
          <w:p w14:paraId="3786972F">
            <w:pPr>
              <w:widowControl/>
              <w:jc w:val="left"/>
              <w:textAlignment w:val="center"/>
              <w:rPr>
                <w:rFonts w:ascii="宋体" w:hAnsi="宋体" w:eastAsia="宋体" w:cs="Times New Roman"/>
                <w:kern w:val="0"/>
                <w:szCs w:val="21"/>
              </w:rPr>
            </w:pPr>
            <w:r>
              <w:rPr>
                <w:rFonts w:hint="eastAsia" w:ascii="宋体" w:hAnsi="宋体" w:eastAsia="宋体" w:cs="Times New Roman"/>
                <w:kern w:val="0"/>
                <w:szCs w:val="21"/>
              </w:rPr>
              <w:t>12、灭火剂净重量：8KG</w:t>
            </w:r>
          </w:p>
          <w:p w14:paraId="6FF3F34F">
            <w:pPr>
              <w:widowControl/>
              <w:jc w:val="left"/>
              <w:textAlignment w:val="center"/>
              <w:rPr>
                <w:rFonts w:ascii="宋体" w:hAnsi="宋体" w:eastAsia="宋体" w:cs="Times New Roman"/>
                <w:kern w:val="0"/>
                <w:szCs w:val="21"/>
              </w:rPr>
            </w:pPr>
            <w:r>
              <w:rPr>
                <w:rFonts w:hint="eastAsia" w:ascii="宋体" w:hAnsi="宋体" w:eastAsia="宋体" w:cs="Times New Roman"/>
                <w:kern w:val="0"/>
                <w:szCs w:val="21"/>
              </w:rPr>
              <w:t>13、筒体壁厚：≥1.25mm</w:t>
            </w:r>
            <w:r>
              <w:rPr>
                <w:rFonts w:hint="eastAsia" w:ascii="宋体" w:hAnsi="宋体" w:eastAsia="宋体" w:cs="Times New Roman"/>
                <w:kern w:val="0"/>
                <w:szCs w:val="21"/>
              </w:rPr>
              <w:tab/>
            </w:r>
            <w:r>
              <w:rPr>
                <w:rFonts w:hint="eastAsia" w:ascii="宋体" w:hAnsi="宋体" w:eastAsia="宋体" w:cs="Times New Roman"/>
                <w:kern w:val="0"/>
                <w:szCs w:val="21"/>
              </w:rPr>
              <w:t>碳钢</w:t>
            </w:r>
          </w:p>
          <w:p w14:paraId="3B6CA483">
            <w:pPr>
              <w:widowControl/>
              <w:jc w:val="left"/>
              <w:textAlignment w:val="center"/>
              <w:rPr>
                <w:rFonts w:ascii="宋体" w:hAnsi="宋体" w:eastAsia="宋体" w:cs="Times New Roman"/>
                <w:kern w:val="0"/>
                <w:szCs w:val="21"/>
              </w:rPr>
            </w:pPr>
            <w:r>
              <w:rPr>
                <w:rFonts w:hint="eastAsia" w:ascii="宋体" w:hAnsi="宋体" w:eastAsia="宋体" w:cs="Times New Roman"/>
                <w:kern w:val="0"/>
                <w:szCs w:val="21"/>
              </w:rPr>
              <w:t>14、灭火器高度≤61cm</w:t>
            </w:r>
          </w:p>
          <w:p w14:paraId="60FEA416">
            <w:pPr>
              <w:pStyle w:val="9"/>
              <w:kinsoku w:val="0"/>
              <w:overflowPunct w:val="0"/>
              <w:spacing w:before="35"/>
              <w:ind w:right="1"/>
              <w:rPr>
                <w:rFonts w:ascii="宋体" w:hAnsi="宋体"/>
                <w:sz w:val="21"/>
                <w:szCs w:val="21"/>
              </w:rPr>
            </w:pPr>
            <w:r>
              <w:rPr>
                <w:rFonts w:hint="eastAsia" w:ascii="宋体" w:hAnsi="宋体"/>
                <w:sz w:val="21"/>
                <w:szCs w:val="21"/>
              </w:rPr>
              <w:t>★</w:t>
            </w:r>
            <w:r>
              <w:rPr>
                <w:rFonts w:hint="eastAsia" w:ascii="宋体" w:hAnsi="宋体"/>
                <w:b/>
                <w:sz w:val="21"/>
                <w:szCs w:val="21"/>
              </w:rPr>
              <w:t>瓶身须有：①3C认证标志，②按消防规定贴S码A签、B签、二维码可直接扫一扫进入官网查询真伪，③出厂合格证明。</w:t>
            </w:r>
          </w:p>
        </w:tc>
        <w:tc>
          <w:tcPr>
            <w:tcW w:w="567" w:type="dxa"/>
            <w:tcBorders>
              <w:top w:val="single" w:color="000000" w:sz="4" w:space="0"/>
              <w:left w:val="nil"/>
              <w:bottom w:val="single" w:color="000000" w:sz="4" w:space="0"/>
              <w:right w:val="single" w:color="000000" w:sz="4" w:space="0"/>
            </w:tcBorders>
            <w:noWrap/>
            <w:vAlign w:val="center"/>
          </w:tcPr>
          <w:p w14:paraId="25CD209A">
            <w:pPr>
              <w:widowControl/>
              <w:jc w:val="center"/>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个</w:t>
            </w:r>
          </w:p>
        </w:tc>
        <w:tc>
          <w:tcPr>
            <w:tcW w:w="708" w:type="dxa"/>
            <w:tcBorders>
              <w:top w:val="single" w:color="000000" w:sz="4" w:space="0"/>
              <w:left w:val="nil"/>
              <w:bottom w:val="single" w:color="000000" w:sz="4" w:space="0"/>
              <w:right w:val="single" w:color="auto" w:sz="4" w:space="0"/>
            </w:tcBorders>
            <w:noWrap/>
            <w:vAlign w:val="center"/>
          </w:tcPr>
          <w:p w14:paraId="3897927A">
            <w:pPr>
              <w:widowControl/>
              <w:jc w:val="center"/>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4</w:t>
            </w:r>
          </w:p>
        </w:tc>
        <w:tc>
          <w:tcPr>
            <w:tcW w:w="783" w:type="dxa"/>
            <w:tcBorders>
              <w:top w:val="single" w:color="auto" w:sz="4" w:space="0"/>
              <w:left w:val="single" w:color="auto" w:sz="4" w:space="0"/>
              <w:bottom w:val="single" w:color="auto" w:sz="4" w:space="0"/>
              <w:right w:val="single" w:color="auto" w:sz="4" w:space="0"/>
            </w:tcBorders>
          </w:tcPr>
          <w:p w14:paraId="013E74BE">
            <w:pPr>
              <w:widowControl/>
              <w:jc w:val="center"/>
              <w:textAlignment w:val="center"/>
              <w:rPr>
                <w:rFonts w:ascii="宋体" w:hAnsi="宋体" w:eastAsia="宋体" w:cs="Times New Roman"/>
                <w:kern w:val="0"/>
                <w:sz w:val="24"/>
                <w:szCs w:val="24"/>
              </w:rPr>
            </w:pPr>
          </w:p>
        </w:tc>
        <w:tc>
          <w:tcPr>
            <w:tcW w:w="918" w:type="dxa"/>
            <w:tcBorders>
              <w:top w:val="single" w:color="auto" w:sz="4" w:space="0"/>
              <w:left w:val="single" w:color="auto" w:sz="4" w:space="0"/>
              <w:bottom w:val="single" w:color="auto" w:sz="4" w:space="0"/>
              <w:right w:val="single" w:color="auto" w:sz="4" w:space="0"/>
            </w:tcBorders>
          </w:tcPr>
          <w:p w14:paraId="3DE6D616">
            <w:pPr>
              <w:widowControl/>
              <w:jc w:val="center"/>
              <w:textAlignment w:val="center"/>
              <w:rPr>
                <w:rFonts w:ascii="宋体" w:hAnsi="宋体" w:eastAsia="宋体" w:cs="Times New Roman"/>
                <w:kern w:val="0"/>
                <w:sz w:val="24"/>
                <w:szCs w:val="24"/>
              </w:rPr>
            </w:pPr>
          </w:p>
        </w:tc>
        <w:tc>
          <w:tcPr>
            <w:tcW w:w="709" w:type="dxa"/>
            <w:tcBorders>
              <w:top w:val="single" w:color="000000" w:sz="4" w:space="0"/>
              <w:left w:val="single" w:color="auto" w:sz="4" w:space="0"/>
              <w:bottom w:val="single" w:color="000000" w:sz="4" w:space="0"/>
              <w:right w:val="single" w:color="000000" w:sz="4" w:space="0"/>
            </w:tcBorders>
          </w:tcPr>
          <w:p w14:paraId="6A5C49C9">
            <w:pPr>
              <w:widowControl/>
              <w:jc w:val="center"/>
              <w:textAlignment w:val="center"/>
              <w:rPr>
                <w:rFonts w:ascii="宋体" w:hAnsi="宋体" w:eastAsia="宋体" w:cs="Times New Roman"/>
                <w:kern w:val="0"/>
                <w:sz w:val="24"/>
                <w:szCs w:val="24"/>
              </w:rPr>
            </w:pPr>
          </w:p>
        </w:tc>
      </w:tr>
      <w:tr w14:paraId="6480F01F">
        <w:tblPrEx>
          <w:tblCellMar>
            <w:top w:w="0" w:type="dxa"/>
            <w:left w:w="108" w:type="dxa"/>
            <w:bottom w:w="0" w:type="dxa"/>
            <w:right w:w="108" w:type="dxa"/>
          </w:tblCellMar>
        </w:tblPrEx>
        <w:trPr>
          <w:trHeight w:val="500" w:hRule="atLeast"/>
          <w:jc w:val="center"/>
        </w:trPr>
        <w:tc>
          <w:tcPr>
            <w:tcW w:w="549" w:type="dxa"/>
            <w:tcBorders>
              <w:top w:val="single" w:color="000000" w:sz="4" w:space="0"/>
              <w:left w:val="single" w:color="000000" w:sz="4" w:space="0"/>
              <w:bottom w:val="single" w:color="000000" w:sz="4" w:space="0"/>
              <w:right w:val="single" w:color="000000" w:sz="4" w:space="0"/>
            </w:tcBorders>
            <w:noWrap/>
            <w:vAlign w:val="center"/>
          </w:tcPr>
          <w:p w14:paraId="0AD4770C">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3</w:t>
            </w:r>
          </w:p>
        </w:tc>
        <w:tc>
          <w:tcPr>
            <w:tcW w:w="1239" w:type="dxa"/>
            <w:tcBorders>
              <w:top w:val="single" w:color="000000" w:sz="4" w:space="0"/>
              <w:left w:val="nil"/>
              <w:bottom w:val="single" w:color="000000" w:sz="4" w:space="0"/>
              <w:right w:val="single" w:color="000000" w:sz="4" w:space="0"/>
            </w:tcBorders>
            <w:noWrap/>
            <w:vAlign w:val="center"/>
          </w:tcPr>
          <w:p w14:paraId="3BE4DA20">
            <w:pPr>
              <w:widowControl/>
              <w:jc w:val="center"/>
              <w:textAlignment w:val="center"/>
              <w:rPr>
                <w:rFonts w:ascii="宋体" w:hAnsi="宋体" w:eastAsia="宋体" w:cs="Times New Roman"/>
                <w:kern w:val="0"/>
                <w:szCs w:val="21"/>
              </w:rPr>
            </w:pPr>
            <w:r>
              <w:rPr>
                <w:rFonts w:hint="eastAsia" w:ascii="宋体" w:hAnsi="宋体" w:eastAsia="宋体" w:cs="Times New Roman"/>
                <w:kern w:val="0"/>
                <w:szCs w:val="21"/>
              </w:rPr>
              <w:t>合计</w:t>
            </w:r>
          </w:p>
        </w:tc>
        <w:tc>
          <w:tcPr>
            <w:tcW w:w="5245" w:type="dxa"/>
            <w:tcBorders>
              <w:top w:val="single" w:color="000000" w:sz="4" w:space="0"/>
              <w:left w:val="nil"/>
              <w:bottom w:val="single" w:color="000000" w:sz="4" w:space="0"/>
              <w:right w:val="single" w:color="000000" w:sz="4" w:space="0"/>
            </w:tcBorders>
            <w:noWrap/>
            <w:vAlign w:val="center"/>
          </w:tcPr>
          <w:p w14:paraId="28C1A07A">
            <w:pPr>
              <w:pStyle w:val="9"/>
              <w:kinsoku w:val="0"/>
              <w:overflowPunct w:val="0"/>
              <w:spacing w:before="35"/>
              <w:ind w:right="1"/>
              <w:rPr>
                <w:rFonts w:ascii="宋体" w:hAnsi="宋体"/>
                <w:sz w:val="21"/>
                <w:szCs w:val="21"/>
              </w:rPr>
            </w:pPr>
            <w:r>
              <w:rPr>
                <w:rFonts w:hint="eastAsia" w:ascii="宋体" w:hAnsi="宋体"/>
                <w:sz w:val="21"/>
                <w:szCs w:val="21"/>
              </w:rPr>
              <w:t>大写：</w:t>
            </w:r>
          </w:p>
        </w:tc>
        <w:tc>
          <w:tcPr>
            <w:tcW w:w="3685" w:type="dxa"/>
            <w:gridSpan w:val="5"/>
            <w:tcBorders>
              <w:top w:val="single" w:color="000000" w:sz="4" w:space="0"/>
              <w:left w:val="nil"/>
              <w:bottom w:val="single" w:color="000000" w:sz="4" w:space="0"/>
              <w:right w:val="single" w:color="000000" w:sz="4" w:space="0"/>
            </w:tcBorders>
            <w:noWrap/>
            <w:vAlign w:val="center"/>
          </w:tcPr>
          <w:p w14:paraId="28D5D632">
            <w:pPr>
              <w:widowControl/>
              <w:jc w:val="left"/>
              <w:textAlignment w:val="center"/>
              <w:rPr>
                <w:rFonts w:ascii="宋体" w:hAnsi="宋体" w:eastAsia="宋体" w:cs="Times New Roman"/>
                <w:kern w:val="0"/>
                <w:sz w:val="24"/>
                <w:szCs w:val="24"/>
              </w:rPr>
            </w:pPr>
            <w:r>
              <w:rPr>
                <w:rFonts w:hint="eastAsia" w:ascii="宋体" w:hAnsi="宋体" w:eastAsia="宋体" w:cs="Times New Roman"/>
                <w:kern w:val="0"/>
                <w:sz w:val="24"/>
                <w:szCs w:val="24"/>
              </w:rPr>
              <w:t>小写：</w:t>
            </w:r>
          </w:p>
        </w:tc>
      </w:tr>
      <w:tr w14:paraId="3FE50C86">
        <w:tblPrEx>
          <w:tblCellMar>
            <w:top w:w="0" w:type="dxa"/>
            <w:left w:w="108" w:type="dxa"/>
            <w:bottom w:w="0" w:type="dxa"/>
            <w:right w:w="108" w:type="dxa"/>
          </w:tblCellMar>
        </w:tblPrEx>
        <w:trPr>
          <w:trHeight w:val="500" w:hRule="atLeast"/>
          <w:jc w:val="center"/>
        </w:trPr>
        <w:tc>
          <w:tcPr>
            <w:tcW w:w="10718" w:type="dxa"/>
            <w:gridSpan w:val="8"/>
            <w:tcBorders>
              <w:top w:val="single" w:color="000000" w:sz="4" w:space="0"/>
              <w:left w:val="single" w:color="000000" w:sz="4" w:space="0"/>
              <w:bottom w:val="single" w:color="000000" w:sz="4" w:space="0"/>
              <w:right w:val="single" w:color="000000" w:sz="4" w:space="0"/>
            </w:tcBorders>
            <w:noWrap/>
            <w:vAlign w:val="center"/>
          </w:tcPr>
          <w:p w14:paraId="5A10919A">
            <w:pPr>
              <w:widowControl/>
              <w:spacing w:line="360" w:lineRule="exact"/>
              <w:jc w:val="left"/>
              <w:textAlignment w:val="center"/>
              <w:rPr>
                <w:rFonts w:ascii="宋体" w:hAnsi="宋体" w:eastAsia="宋体" w:cs="Times New Roman"/>
                <w:b/>
                <w:bCs/>
                <w:kern w:val="0"/>
                <w:szCs w:val="21"/>
              </w:rPr>
            </w:pPr>
            <w:r>
              <w:rPr>
                <w:rFonts w:hint="eastAsia" w:ascii="宋体" w:hAnsi="宋体" w:eastAsia="宋体" w:cs="Times New Roman"/>
                <w:b/>
                <w:bCs/>
                <w:kern w:val="0"/>
                <w:szCs w:val="21"/>
              </w:rPr>
              <w:t>备注：</w:t>
            </w:r>
          </w:p>
          <w:p w14:paraId="55AACB34">
            <w:pPr>
              <w:widowControl/>
              <w:spacing w:line="360" w:lineRule="exact"/>
              <w:jc w:val="left"/>
              <w:textAlignment w:val="center"/>
              <w:rPr>
                <w:rFonts w:ascii="宋体" w:hAnsi="宋体" w:eastAsia="宋体" w:cs="Times New Roman"/>
                <w:b/>
                <w:bCs/>
                <w:kern w:val="0"/>
                <w:szCs w:val="21"/>
              </w:rPr>
            </w:pPr>
            <w:r>
              <w:rPr>
                <w:rFonts w:hint="eastAsia" w:ascii="宋体" w:hAnsi="宋体" w:eastAsia="宋体" w:cs="Times New Roman"/>
                <w:b/>
                <w:bCs/>
                <w:kern w:val="0"/>
                <w:szCs w:val="21"/>
              </w:rPr>
              <w:t xml:space="preserve">1.上述采购要求为最低要求，不得负偏离，否则视为无效报价； </w:t>
            </w:r>
          </w:p>
          <w:p w14:paraId="3120B8EB">
            <w:pPr>
              <w:widowControl/>
              <w:spacing w:line="360" w:lineRule="exact"/>
              <w:jc w:val="left"/>
              <w:textAlignment w:val="center"/>
              <w:rPr>
                <w:rFonts w:ascii="宋体" w:hAnsi="宋体" w:eastAsia="宋体" w:cs="Times New Roman"/>
                <w:b/>
                <w:bCs/>
                <w:kern w:val="0"/>
                <w:szCs w:val="21"/>
              </w:rPr>
            </w:pPr>
            <w:r>
              <w:rPr>
                <w:rFonts w:hint="eastAsia" w:ascii="宋体" w:hAnsi="宋体" w:eastAsia="宋体" w:cs="Times New Roman"/>
                <w:b/>
                <w:bCs/>
                <w:kern w:val="0"/>
                <w:szCs w:val="21"/>
              </w:rPr>
              <w:t xml:space="preserve">2.采购标准要求以采购要求、相关国家标准为准，在标准和采购要求不一致时，按要求高的标准执行； </w:t>
            </w:r>
          </w:p>
          <w:p w14:paraId="02ED8F86">
            <w:pPr>
              <w:widowControl/>
              <w:spacing w:line="360" w:lineRule="exact"/>
              <w:jc w:val="left"/>
              <w:textAlignment w:val="center"/>
              <w:rPr>
                <w:rFonts w:ascii="宋体" w:hAnsi="宋体" w:eastAsia="宋体" w:cs="Times New Roman"/>
                <w:b/>
                <w:bCs/>
                <w:kern w:val="0"/>
                <w:szCs w:val="21"/>
              </w:rPr>
            </w:pPr>
            <w:r>
              <w:rPr>
                <w:rFonts w:hint="eastAsia" w:ascii="宋体" w:hAnsi="宋体" w:eastAsia="宋体" w:cs="Times New Roman"/>
                <w:b/>
                <w:bCs/>
                <w:kern w:val="0"/>
                <w:szCs w:val="21"/>
              </w:rPr>
              <w:t xml:space="preserve">3.所有货物都必须是全新正品，所有货物及包装、标签、标识符合国家相关规定要求； </w:t>
            </w:r>
          </w:p>
          <w:p w14:paraId="307B7ED3">
            <w:pPr>
              <w:widowControl/>
              <w:spacing w:line="360" w:lineRule="exact"/>
              <w:jc w:val="left"/>
              <w:textAlignment w:val="center"/>
              <w:rPr>
                <w:rFonts w:ascii="宋体" w:hAnsi="宋体" w:eastAsia="宋体" w:cs="Times New Roman"/>
                <w:b/>
                <w:bCs/>
                <w:kern w:val="0"/>
                <w:szCs w:val="21"/>
              </w:rPr>
            </w:pPr>
            <w:r>
              <w:rPr>
                <w:rFonts w:hint="eastAsia" w:ascii="宋体" w:hAnsi="宋体" w:eastAsia="宋体" w:cs="Times New Roman"/>
                <w:b/>
                <w:bCs/>
                <w:kern w:val="0"/>
                <w:szCs w:val="21"/>
              </w:rPr>
              <w:t>4.本项目将由采购人组织抽样检验，被破坏的样品由成交供应商无偿重新提供。如检测不合格，视作项目整体验收不合格，将按相关规定进行处理。</w:t>
            </w:r>
          </w:p>
          <w:p w14:paraId="5E938E49">
            <w:pPr>
              <w:widowControl/>
              <w:spacing w:line="360" w:lineRule="exact"/>
              <w:jc w:val="left"/>
              <w:textAlignment w:val="center"/>
              <w:rPr>
                <w:rFonts w:ascii="宋体" w:hAnsi="宋体" w:eastAsia="宋体" w:cs="Times New Roman"/>
                <w:b/>
                <w:bCs/>
                <w:kern w:val="0"/>
                <w:szCs w:val="21"/>
              </w:rPr>
            </w:pPr>
            <w:r>
              <w:rPr>
                <w:rFonts w:hint="eastAsia" w:ascii="宋体" w:hAnsi="宋体" w:eastAsia="宋体" w:cs="Times New Roman"/>
                <w:b/>
                <w:bCs/>
                <w:kern w:val="0"/>
                <w:szCs w:val="21"/>
              </w:rPr>
              <w:t>5.报价供应商应实地考察现场，综合考虑生产周期等各种因素后报价。</w:t>
            </w:r>
          </w:p>
          <w:p w14:paraId="36BF6BF6">
            <w:pPr>
              <w:widowControl/>
              <w:spacing w:line="360" w:lineRule="exact"/>
              <w:jc w:val="left"/>
              <w:textAlignment w:val="center"/>
              <w:rPr>
                <w:rFonts w:ascii="宋体" w:hAnsi="宋体" w:eastAsia="宋体" w:cs="Times New Roman"/>
                <w:kern w:val="0"/>
                <w:sz w:val="24"/>
                <w:szCs w:val="24"/>
              </w:rPr>
            </w:pPr>
            <w:r>
              <w:rPr>
                <w:rFonts w:hint="eastAsia" w:ascii="宋体" w:hAnsi="宋体" w:eastAsia="宋体" w:cs="Times New Roman"/>
                <w:b/>
                <w:bCs/>
                <w:kern w:val="0"/>
                <w:szCs w:val="21"/>
              </w:rPr>
              <w:t>6.成交供应商须根据使用单位指定地点、时间安装到位（原灭火器回收至指定地点）。</w:t>
            </w:r>
          </w:p>
        </w:tc>
      </w:tr>
    </w:tbl>
    <w:p w14:paraId="3BF5CE7E">
      <w:pPr>
        <w:widowControl/>
        <w:spacing w:line="460" w:lineRule="exact"/>
        <w:jc w:val="left"/>
        <w:rPr>
          <w:rFonts w:ascii="宋体" w:hAnsi="宋体" w:eastAsia="宋体" w:cs="Times New Roman"/>
          <w:b/>
          <w:kern w:val="0"/>
          <w:sz w:val="28"/>
          <w:szCs w:val="28"/>
          <w:shd w:val="clear" w:color="auto" w:fill="FFFFFF"/>
        </w:rPr>
      </w:pPr>
      <w:r>
        <w:rPr>
          <w:rFonts w:hint="eastAsia" w:ascii="宋体" w:hAnsi="宋体" w:eastAsia="宋体" w:cs="Times New Roman"/>
          <w:b/>
          <w:kern w:val="0"/>
          <w:sz w:val="28"/>
          <w:szCs w:val="28"/>
          <w:shd w:val="clear" w:color="auto" w:fill="FFFFFF"/>
        </w:rPr>
        <w:t>说明：</w:t>
      </w:r>
    </w:p>
    <w:p w14:paraId="2E91C10E">
      <w:pPr>
        <w:widowControl/>
        <w:spacing w:line="460" w:lineRule="exact"/>
        <w:jc w:val="left"/>
        <w:rPr>
          <w:rFonts w:ascii="宋体" w:hAnsi="宋体" w:eastAsia="宋体" w:cs="Times New Roman"/>
          <w:b/>
          <w:kern w:val="0"/>
          <w:sz w:val="28"/>
          <w:szCs w:val="28"/>
          <w:shd w:val="clear" w:color="auto" w:fill="FFFFFF"/>
        </w:rPr>
      </w:pPr>
      <w:r>
        <w:rPr>
          <w:rFonts w:hint="eastAsia" w:ascii="宋体" w:hAnsi="宋体" w:eastAsia="宋体" w:cs="Times New Roman"/>
          <w:b/>
          <w:kern w:val="0"/>
          <w:sz w:val="28"/>
          <w:szCs w:val="28"/>
          <w:shd w:val="clear" w:color="auto" w:fill="FFFFFF"/>
        </w:rPr>
        <w:t xml:space="preserve">    </w:t>
      </w:r>
      <w:r>
        <w:rPr>
          <w:rFonts w:hint="eastAsia" w:ascii="宋体" w:hAnsi="宋体" w:eastAsia="宋体" w:cs="Times New Roman"/>
          <w:b/>
          <w:kern w:val="0"/>
          <w:sz w:val="28"/>
          <w:szCs w:val="28"/>
          <w:u w:val="single"/>
          <w:shd w:val="clear" w:color="auto" w:fill="FFFFFF"/>
        </w:rPr>
        <w:t>本报价表须机打并加盖报价单位公章，手填无效。报价最多保留2位小数，否则视为无效报价。</w:t>
      </w:r>
    </w:p>
    <w:p w14:paraId="2430623B">
      <w:pPr>
        <w:widowControl/>
        <w:spacing w:line="460" w:lineRule="exact"/>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报价单位（盖章）：</w:t>
      </w:r>
    </w:p>
    <w:p w14:paraId="619E83CB">
      <w:pPr>
        <w:widowControl/>
        <w:spacing w:line="460" w:lineRule="exact"/>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 xml:space="preserve">法人代表人或个体工商户经营者或被授权人（签字或盖章）：   </w:t>
      </w:r>
    </w:p>
    <w:p w14:paraId="5D6DDFFB">
      <w:pPr>
        <w:widowControl/>
        <w:spacing w:line="460" w:lineRule="exact"/>
        <w:jc w:val="left"/>
        <w:rPr>
          <w:rFonts w:ascii="宋体" w:hAnsi="宋体" w:eastAsia="宋体" w:cs="Times New Roman"/>
          <w:b/>
          <w:bCs/>
          <w:kern w:val="0"/>
          <w:sz w:val="28"/>
          <w:szCs w:val="28"/>
          <w:shd w:val="clear" w:color="auto" w:fill="FFFFFF"/>
        </w:rPr>
      </w:pPr>
      <w:r>
        <w:rPr>
          <w:rFonts w:hint="eastAsia" w:ascii="宋体" w:hAnsi="宋体" w:eastAsia="宋体" w:cs="Times New Roman"/>
          <w:b/>
          <w:bCs/>
          <w:kern w:val="0"/>
          <w:sz w:val="28"/>
          <w:szCs w:val="28"/>
          <w:shd w:val="clear" w:color="auto" w:fill="FFFFFF"/>
        </w:rPr>
        <w:t xml:space="preserve">                                                  年   月   日</w:t>
      </w:r>
    </w:p>
    <w:p w14:paraId="0813F3AA">
      <w:pPr>
        <w:widowControl/>
        <w:spacing w:line="460" w:lineRule="exact"/>
        <w:jc w:val="left"/>
        <w:rPr>
          <w:rFonts w:ascii="宋体" w:hAnsi="宋体" w:eastAsia="宋体" w:cs="Times New Roman"/>
          <w:b/>
          <w:kern w:val="0"/>
          <w:sz w:val="28"/>
          <w:szCs w:val="28"/>
          <w:shd w:val="clear" w:color="auto" w:fill="FFFFFF"/>
        </w:rPr>
      </w:pPr>
    </w:p>
    <w:p w14:paraId="5BB8C297">
      <w:pPr>
        <w:widowControl/>
        <w:spacing w:line="460" w:lineRule="exact"/>
        <w:jc w:val="left"/>
        <w:rPr>
          <w:rFonts w:ascii="宋体" w:hAnsi="宋体" w:eastAsia="宋体" w:cs="Times New Roman"/>
          <w:b/>
          <w:kern w:val="0"/>
          <w:sz w:val="28"/>
          <w:szCs w:val="28"/>
          <w:shd w:val="clear" w:color="auto" w:fill="FFFFFF"/>
        </w:rPr>
      </w:pPr>
    </w:p>
    <w:p w14:paraId="7A19A072">
      <w:pPr>
        <w:widowControl/>
        <w:spacing w:line="460" w:lineRule="exact"/>
        <w:jc w:val="left"/>
        <w:rPr>
          <w:rFonts w:ascii="宋体" w:hAnsi="宋体" w:eastAsia="宋体" w:cs="Times New Roman"/>
          <w:b/>
          <w:kern w:val="0"/>
          <w:sz w:val="28"/>
          <w:szCs w:val="28"/>
          <w:shd w:val="clear" w:color="auto" w:fill="FFFFFF"/>
        </w:rPr>
      </w:pPr>
    </w:p>
    <w:p w14:paraId="0DDF8567">
      <w:pPr>
        <w:widowControl/>
        <w:spacing w:line="460" w:lineRule="exact"/>
        <w:jc w:val="left"/>
        <w:rPr>
          <w:rFonts w:ascii="宋体" w:hAnsi="宋体" w:eastAsia="宋体" w:cs="Times New Roman"/>
          <w:b/>
          <w:kern w:val="0"/>
          <w:sz w:val="28"/>
          <w:szCs w:val="28"/>
          <w:shd w:val="clear" w:color="auto" w:fill="FFFFFF"/>
        </w:rPr>
      </w:pPr>
    </w:p>
    <w:p w14:paraId="00F0F2D4">
      <w:pPr>
        <w:widowControl/>
        <w:spacing w:line="460" w:lineRule="exact"/>
        <w:jc w:val="left"/>
        <w:rPr>
          <w:rFonts w:ascii="宋体" w:hAnsi="宋体" w:eastAsia="宋体" w:cs="Times New Roman"/>
          <w:b/>
          <w:kern w:val="0"/>
          <w:sz w:val="28"/>
          <w:szCs w:val="28"/>
          <w:shd w:val="clear" w:color="auto" w:fill="FFFFFF"/>
        </w:rPr>
      </w:pPr>
    </w:p>
    <w:p w14:paraId="795F11FC">
      <w:pPr>
        <w:widowControl/>
        <w:spacing w:line="460" w:lineRule="exact"/>
        <w:jc w:val="left"/>
        <w:rPr>
          <w:rFonts w:ascii="宋体" w:hAnsi="宋体" w:eastAsia="宋体" w:cs="Times New Roman"/>
          <w:b/>
          <w:kern w:val="0"/>
          <w:sz w:val="28"/>
          <w:szCs w:val="28"/>
          <w:shd w:val="clear" w:color="auto" w:fill="FFFFFF"/>
        </w:rPr>
      </w:pPr>
    </w:p>
    <w:p w14:paraId="50346537">
      <w:pPr>
        <w:widowControl/>
        <w:spacing w:line="460" w:lineRule="exact"/>
        <w:jc w:val="left"/>
        <w:rPr>
          <w:rFonts w:ascii="宋体" w:hAnsi="宋体" w:eastAsia="宋体" w:cs="Times New Roman"/>
          <w:b/>
          <w:kern w:val="0"/>
          <w:sz w:val="28"/>
          <w:szCs w:val="28"/>
          <w:shd w:val="clear" w:color="auto" w:fill="FFFFFF"/>
        </w:rPr>
      </w:pPr>
    </w:p>
    <w:p w14:paraId="4E5D0E5A">
      <w:pPr>
        <w:widowControl/>
        <w:spacing w:line="460" w:lineRule="exact"/>
        <w:jc w:val="left"/>
        <w:rPr>
          <w:rFonts w:ascii="宋体" w:hAnsi="宋体" w:eastAsia="宋体" w:cs="Times New Roman"/>
          <w:b/>
          <w:kern w:val="0"/>
          <w:sz w:val="28"/>
          <w:szCs w:val="28"/>
          <w:shd w:val="clear" w:color="auto" w:fill="FFFFFF"/>
        </w:rPr>
      </w:pPr>
    </w:p>
    <w:p w14:paraId="22BBE804">
      <w:pPr>
        <w:widowControl/>
        <w:spacing w:line="460" w:lineRule="exact"/>
        <w:jc w:val="left"/>
        <w:rPr>
          <w:rFonts w:ascii="宋体" w:hAnsi="宋体" w:eastAsia="宋体" w:cs="Times New Roman"/>
          <w:b/>
          <w:kern w:val="0"/>
          <w:sz w:val="28"/>
          <w:szCs w:val="28"/>
          <w:shd w:val="clear" w:color="auto" w:fill="FFFFFF"/>
        </w:rPr>
      </w:pPr>
    </w:p>
    <w:p w14:paraId="0B509BC4">
      <w:pPr>
        <w:widowControl/>
        <w:spacing w:line="460" w:lineRule="exact"/>
        <w:jc w:val="left"/>
        <w:rPr>
          <w:rFonts w:ascii="宋体" w:hAnsi="宋体" w:eastAsia="宋体" w:cs="Times New Roman"/>
          <w:b/>
          <w:kern w:val="0"/>
          <w:sz w:val="28"/>
          <w:szCs w:val="28"/>
          <w:shd w:val="clear" w:color="auto" w:fill="FFFFFF"/>
        </w:rPr>
      </w:pPr>
    </w:p>
    <w:p w14:paraId="043AA251">
      <w:pPr>
        <w:widowControl/>
        <w:spacing w:line="460" w:lineRule="exact"/>
        <w:jc w:val="left"/>
        <w:rPr>
          <w:rFonts w:ascii="宋体" w:hAnsi="宋体" w:eastAsia="宋体" w:cs="Times New Roman"/>
          <w:b/>
          <w:kern w:val="0"/>
          <w:sz w:val="28"/>
          <w:szCs w:val="28"/>
          <w:shd w:val="clear" w:color="auto" w:fill="FFFFFF"/>
        </w:rPr>
      </w:pPr>
    </w:p>
    <w:p w14:paraId="1EC5832C">
      <w:pPr>
        <w:widowControl/>
        <w:spacing w:line="460" w:lineRule="exact"/>
        <w:jc w:val="left"/>
        <w:rPr>
          <w:rFonts w:ascii="宋体" w:hAnsi="宋体" w:eastAsia="宋体" w:cs="Times New Roman"/>
          <w:b/>
          <w:kern w:val="0"/>
          <w:sz w:val="28"/>
          <w:szCs w:val="28"/>
          <w:shd w:val="clear" w:color="auto" w:fill="FFFFFF"/>
        </w:rPr>
      </w:pPr>
    </w:p>
    <w:p w14:paraId="23EF639A">
      <w:pPr>
        <w:widowControl/>
        <w:spacing w:line="460" w:lineRule="exact"/>
        <w:jc w:val="left"/>
        <w:rPr>
          <w:rFonts w:ascii="宋体" w:hAnsi="宋体" w:eastAsia="宋体" w:cs="Times New Roman"/>
          <w:b/>
          <w:kern w:val="0"/>
          <w:sz w:val="28"/>
          <w:szCs w:val="28"/>
          <w:shd w:val="clear" w:color="auto" w:fill="FFFFFF"/>
        </w:rPr>
      </w:pPr>
    </w:p>
    <w:p w14:paraId="4F6A9F24">
      <w:pPr>
        <w:widowControl/>
        <w:spacing w:line="460" w:lineRule="exact"/>
        <w:jc w:val="left"/>
        <w:rPr>
          <w:rFonts w:ascii="宋体" w:hAnsi="宋体" w:eastAsia="宋体" w:cs="Times New Roman"/>
          <w:b/>
          <w:kern w:val="0"/>
          <w:sz w:val="28"/>
          <w:szCs w:val="28"/>
          <w:shd w:val="clear" w:color="auto" w:fill="FFFFFF"/>
        </w:rPr>
      </w:pPr>
    </w:p>
    <w:p w14:paraId="43AAD88E">
      <w:pPr>
        <w:widowControl/>
        <w:spacing w:line="460" w:lineRule="exact"/>
        <w:jc w:val="left"/>
        <w:rPr>
          <w:rFonts w:ascii="宋体" w:hAnsi="宋体" w:eastAsia="宋体" w:cs="Times New Roman"/>
          <w:b/>
          <w:kern w:val="0"/>
          <w:sz w:val="28"/>
          <w:szCs w:val="28"/>
          <w:shd w:val="clear" w:color="auto" w:fill="FFFFFF"/>
        </w:rPr>
      </w:pPr>
    </w:p>
    <w:p w14:paraId="556AFF2E">
      <w:pPr>
        <w:widowControl/>
        <w:shd w:val="clear" w:color="auto" w:fill="FFFFFF"/>
        <w:snapToGrid w:val="0"/>
        <w:spacing w:line="520" w:lineRule="exact"/>
        <w:jc w:val="left"/>
        <w:rPr>
          <w:rFonts w:ascii="宋体" w:hAnsi="宋体" w:eastAsia="宋体" w:cs="Times New Roman"/>
          <w:b/>
          <w:sz w:val="28"/>
          <w:szCs w:val="28"/>
        </w:rPr>
      </w:pPr>
      <w:r>
        <w:rPr>
          <w:rFonts w:hint="eastAsia" w:ascii="仿宋" w:hAnsi="仿宋" w:eastAsia="仿宋" w:cs="Times New Roman"/>
          <w:b/>
          <w:sz w:val="28"/>
          <w:szCs w:val="28"/>
        </w:rPr>
        <w:t>附件五：</w:t>
      </w:r>
      <w:r>
        <w:rPr>
          <w:rFonts w:hint="eastAsia" w:ascii="宋体" w:hAnsi="宋体" w:eastAsia="宋体" w:cs="Times New Roman"/>
          <w:b/>
          <w:sz w:val="28"/>
          <w:szCs w:val="28"/>
        </w:rPr>
        <w:t>报价货物采购要求响应表</w:t>
      </w:r>
    </w:p>
    <w:p w14:paraId="00421E58">
      <w:pPr>
        <w:widowControl/>
        <w:shd w:val="clear" w:color="auto" w:fill="FFFFFF"/>
        <w:snapToGrid w:val="0"/>
        <w:spacing w:line="520" w:lineRule="exact"/>
        <w:jc w:val="center"/>
        <w:rPr>
          <w:rFonts w:ascii="宋体" w:hAnsi="宋体" w:eastAsia="宋体" w:cs="Times New Roman"/>
          <w:b/>
          <w:kern w:val="0"/>
          <w:sz w:val="48"/>
          <w:szCs w:val="48"/>
        </w:rPr>
      </w:pPr>
      <w:r>
        <w:rPr>
          <w:rFonts w:hint="eastAsia" w:ascii="宋体" w:hAnsi="宋体" w:eastAsia="宋体" w:cs="Times New Roman"/>
          <w:sz w:val="28"/>
          <w:szCs w:val="28"/>
        </w:rPr>
        <w:t>启东市汇龙中学灭火器采购与安装项目</w:t>
      </w:r>
    </w:p>
    <w:p w14:paraId="789BD0CC">
      <w:pPr>
        <w:widowControl/>
        <w:shd w:val="clear" w:color="auto" w:fill="FFFFFF"/>
        <w:tabs>
          <w:tab w:val="left" w:pos="2859"/>
        </w:tabs>
        <w:snapToGrid w:val="0"/>
        <w:spacing w:line="520" w:lineRule="exact"/>
        <w:jc w:val="left"/>
        <w:rPr>
          <w:rFonts w:ascii="宋体" w:hAnsi="宋体" w:eastAsia="宋体" w:cs="Times New Roman"/>
          <w:b/>
          <w:sz w:val="28"/>
          <w:szCs w:val="28"/>
        </w:rPr>
      </w:pPr>
      <w:r>
        <w:rPr>
          <w:rFonts w:hint="eastAsia" w:ascii="宋体" w:hAnsi="宋体" w:eastAsia="宋体" w:cs="Times New Roman"/>
          <w:b/>
          <w:sz w:val="28"/>
          <w:szCs w:val="28"/>
        </w:rPr>
        <w:tab/>
      </w:r>
    </w:p>
    <w:tbl>
      <w:tblPr>
        <w:tblStyle w:val="5"/>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261"/>
        <w:gridCol w:w="2438"/>
        <w:gridCol w:w="2254"/>
        <w:gridCol w:w="2284"/>
      </w:tblGrid>
      <w:tr w14:paraId="4F041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14:paraId="70C089BF">
            <w:pPr>
              <w:widowControl/>
              <w:jc w:val="center"/>
              <w:rPr>
                <w:rFonts w:ascii="宋体" w:hAnsi="Calibri" w:eastAsia="宋体" w:cs="Times New Roman"/>
                <w:szCs w:val="21"/>
              </w:rPr>
            </w:pPr>
            <w:r>
              <w:rPr>
                <w:rFonts w:hint="eastAsia" w:ascii="宋体" w:hAnsi="宋体" w:eastAsia="宋体" w:cs="Times New Roman"/>
                <w:szCs w:val="21"/>
              </w:rPr>
              <w:t>序号</w:t>
            </w:r>
          </w:p>
        </w:tc>
        <w:tc>
          <w:tcPr>
            <w:tcW w:w="1261" w:type="dxa"/>
            <w:tcBorders>
              <w:top w:val="single" w:color="auto" w:sz="4" w:space="0"/>
              <w:left w:val="single" w:color="auto" w:sz="4" w:space="0"/>
              <w:bottom w:val="single" w:color="auto" w:sz="4" w:space="0"/>
              <w:right w:val="single" w:color="auto" w:sz="4" w:space="0"/>
            </w:tcBorders>
            <w:vAlign w:val="center"/>
          </w:tcPr>
          <w:p w14:paraId="16BE5074">
            <w:pPr>
              <w:widowControl/>
              <w:jc w:val="center"/>
              <w:rPr>
                <w:rFonts w:ascii="宋体" w:hAnsi="Calibri" w:eastAsia="宋体" w:cs="Times New Roman"/>
                <w:szCs w:val="21"/>
              </w:rPr>
            </w:pPr>
            <w:r>
              <w:rPr>
                <w:rFonts w:hint="eastAsia" w:ascii="宋体" w:hAnsi="宋体" w:eastAsia="宋体" w:cs="Times New Roman"/>
                <w:szCs w:val="21"/>
              </w:rPr>
              <w:t>货物名称</w:t>
            </w:r>
          </w:p>
        </w:tc>
        <w:tc>
          <w:tcPr>
            <w:tcW w:w="2438" w:type="dxa"/>
            <w:tcBorders>
              <w:top w:val="single" w:color="auto" w:sz="4" w:space="0"/>
              <w:left w:val="single" w:color="auto" w:sz="4" w:space="0"/>
              <w:bottom w:val="single" w:color="auto" w:sz="4" w:space="0"/>
              <w:right w:val="single" w:color="auto" w:sz="4" w:space="0"/>
            </w:tcBorders>
            <w:vAlign w:val="center"/>
          </w:tcPr>
          <w:p w14:paraId="026A1696">
            <w:pPr>
              <w:widowControl/>
              <w:jc w:val="center"/>
              <w:rPr>
                <w:rFonts w:ascii="宋体" w:hAnsi="Calibri" w:eastAsia="宋体" w:cs="Times New Roman"/>
                <w:szCs w:val="21"/>
              </w:rPr>
            </w:pPr>
            <w:r>
              <w:rPr>
                <w:rFonts w:hint="eastAsia" w:ascii="宋体" w:hAnsi="宋体" w:eastAsia="宋体" w:cs="Times New Roman"/>
                <w:szCs w:val="21"/>
              </w:rPr>
              <w:t>采购要求</w:t>
            </w:r>
          </w:p>
        </w:tc>
        <w:tc>
          <w:tcPr>
            <w:tcW w:w="2254" w:type="dxa"/>
            <w:tcBorders>
              <w:top w:val="single" w:color="auto" w:sz="4" w:space="0"/>
              <w:left w:val="single" w:color="auto" w:sz="4" w:space="0"/>
              <w:bottom w:val="single" w:color="auto" w:sz="4" w:space="0"/>
              <w:right w:val="single" w:color="auto" w:sz="4" w:space="0"/>
            </w:tcBorders>
            <w:vAlign w:val="center"/>
          </w:tcPr>
          <w:p w14:paraId="77CD7453">
            <w:pPr>
              <w:widowControl/>
              <w:jc w:val="center"/>
              <w:rPr>
                <w:rFonts w:ascii="宋体" w:hAnsi="Calibri" w:eastAsia="宋体" w:cs="Times New Roman"/>
                <w:szCs w:val="21"/>
              </w:rPr>
            </w:pPr>
            <w:r>
              <w:rPr>
                <w:rFonts w:hint="eastAsia" w:ascii="宋体" w:hAnsi="宋体" w:eastAsia="宋体" w:cs="Times New Roman"/>
                <w:szCs w:val="21"/>
              </w:rPr>
              <w:t>报价货物（服务）响应</w:t>
            </w:r>
          </w:p>
        </w:tc>
        <w:tc>
          <w:tcPr>
            <w:tcW w:w="2284" w:type="dxa"/>
            <w:tcBorders>
              <w:top w:val="single" w:color="auto" w:sz="4" w:space="0"/>
              <w:left w:val="single" w:color="auto" w:sz="4" w:space="0"/>
              <w:bottom w:val="single" w:color="auto" w:sz="4" w:space="0"/>
              <w:right w:val="single" w:color="auto" w:sz="4" w:space="0"/>
            </w:tcBorders>
            <w:vAlign w:val="center"/>
          </w:tcPr>
          <w:p w14:paraId="765D9A04">
            <w:pPr>
              <w:widowControl/>
              <w:jc w:val="center"/>
              <w:rPr>
                <w:rFonts w:ascii="宋体" w:hAnsi="Calibri" w:eastAsia="宋体" w:cs="Times New Roman"/>
                <w:szCs w:val="21"/>
              </w:rPr>
            </w:pPr>
            <w:r>
              <w:rPr>
                <w:rFonts w:hint="eastAsia" w:ascii="宋体" w:hAnsi="宋体" w:eastAsia="宋体" w:cs="Times New Roman"/>
                <w:szCs w:val="21"/>
              </w:rPr>
              <w:t>报价货物参数响应度</w:t>
            </w:r>
          </w:p>
          <w:p w14:paraId="42559DDF">
            <w:pPr>
              <w:snapToGrid w:val="0"/>
              <w:spacing w:line="240" w:lineRule="atLeast"/>
              <w:jc w:val="center"/>
              <w:rPr>
                <w:rFonts w:ascii="宋体" w:hAnsi="Calibri" w:eastAsia="宋体" w:cs="Times New Roman"/>
                <w:b/>
                <w:bCs/>
                <w:sz w:val="24"/>
                <w:szCs w:val="24"/>
              </w:rPr>
            </w:pPr>
            <w:r>
              <w:rPr>
                <w:rFonts w:hint="eastAsia" w:ascii="宋体" w:hAnsi="宋体" w:eastAsia="宋体" w:cs="Times New Roman"/>
                <w:szCs w:val="21"/>
              </w:rPr>
              <w:t>（正偏离、满足、负偏离）</w:t>
            </w:r>
          </w:p>
        </w:tc>
      </w:tr>
      <w:tr w14:paraId="49A7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14:paraId="28B2D56A">
            <w:pPr>
              <w:widowControl/>
              <w:jc w:val="center"/>
              <w:rPr>
                <w:rFonts w:ascii="宋体" w:hAnsi="Calibri" w:eastAsia="宋体" w:cs="Times New Roman"/>
                <w:szCs w:val="21"/>
              </w:rPr>
            </w:pPr>
            <w:r>
              <w:rPr>
                <w:rFonts w:hint="eastAsia" w:ascii="宋体" w:hAnsi="宋体" w:eastAsia="宋体" w:cs="Times New Roman"/>
                <w:szCs w:val="21"/>
              </w:rPr>
              <w:t>1</w:t>
            </w:r>
          </w:p>
        </w:tc>
        <w:tc>
          <w:tcPr>
            <w:tcW w:w="1261" w:type="dxa"/>
            <w:tcBorders>
              <w:top w:val="single" w:color="auto" w:sz="4" w:space="0"/>
              <w:left w:val="single" w:color="auto" w:sz="4" w:space="0"/>
              <w:bottom w:val="single" w:color="auto" w:sz="4" w:space="0"/>
              <w:right w:val="single" w:color="auto" w:sz="4" w:space="0"/>
            </w:tcBorders>
            <w:vAlign w:val="center"/>
          </w:tcPr>
          <w:p w14:paraId="0841F9F5">
            <w:pPr>
              <w:spacing w:line="240" w:lineRule="atLeast"/>
              <w:jc w:val="center"/>
              <w:rPr>
                <w:rFonts w:ascii="仿宋_GB2312" w:hAnsi="宋体" w:eastAsia="仿宋_GB2312" w:cs="Times New Roman"/>
                <w:sz w:val="24"/>
                <w:szCs w:val="24"/>
              </w:rPr>
            </w:pPr>
          </w:p>
        </w:tc>
        <w:tc>
          <w:tcPr>
            <w:tcW w:w="2438" w:type="dxa"/>
            <w:tcBorders>
              <w:top w:val="single" w:color="auto" w:sz="4" w:space="0"/>
              <w:left w:val="single" w:color="auto" w:sz="4" w:space="0"/>
              <w:bottom w:val="single" w:color="auto" w:sz="4" w:space="0"/>
              <w:right w:val="single" w:color="auto" w:sz="4" w:space="0"/>
            </w:tcBorders>
            <w:vAlign w:val="center"/>
          </w:tcPr>
          <w:p w14:paraId="2AFAE16C">
            <w:pPr>
              <w:widowControl/>
              <w:spacing w:line="240" w:lineRule="atLeast"/>
              <w:jc w:val="center"/>
              <w:rPr>
                <w:rFonts w:ascii="宋体" w:hAnsi="Calibri" w:eastAsia="宋体" w:cs="Times New Roman"/>
                <w:sz w:val="24"/>
                <w:szCs w:val="24"/>
              </w:rPr>
            </w:pPr>
          </w:p>
        </w:tc>
        <w:tc>
          <w:tcPr>
            <w:tcW w:w="2254" w:type="dxa"/>
            <w:tcBorders>
              <w:top w:val="single" w:color="auto" w:sz="4" w:space="0"/>
              <w:left w:val="single" w:color="auto" w:sz="4" w:space="0"/>
              <w:bottom w:val="single" w:color="auto" w:sz="4" w:space="0"/>
              <w:right w:val="single" w:color="auto" w:sz="4" w:space="0"/>
            </w:tcBorders>
            <w:vAlign w:val="center"/>
          </w:tcPr>
          <w:p w14:paraId="6E194888">
            <w:pPr>
              <w:snapToGrid w:val="0"/>
              <w:spacing w:line="240" w:lineRule="atLeast"/>
              <w:jc w:val="center"/>
              <w:rPr>
                <w:rFonts w:ascii="宋体" w:hAnsi="Calibri" w:eastAsia="宋体" w:cs="Times New Roman"/>
                <w:sz w:val="24"/>
                <w:szCs w:val="24"/>
              </w:rPr>
            </w:pPr>
          </w:p>
        </w:tc>
        <w:tc>
          <w:tcPr>
            <w:tcW w:w="2284" w:type="dxa"/>
            <w:tcBorders>
              <w:top w:val="single" w:color="auto" w:sz="4" w:space="0"/>
              <w:left w:val="single" w:color="auto" w:sz="4" w:space="0"/>
              <w:bottom w:val="single" w:color="auto" w:sz="4" w:space="0"/>
              <w:right w:val="single" w:color="auto" w:sz="4" w:space="0"/>
            </w:tcBorders>
            <w:vAlign w:val="center"/>
          </w:tcPr>
          <w:p w14:paraId="41A53826">
            <w:pPr>
              <w:snapToGrid w:val="0"/>
              <w:spacing w:line="240" w:lineRule="atLeast"/>
              <w:jc w:val="center"/>
              <w:rPr>
                <w:rFonts w:ascii="宋体" w:hAnsi="Calibri" w:eastAsia="宋体" w:cs="Times New Roman"/>
                <w:sz w:val="24"/>
                <w:szCs w:val="24"/>
              </w:rPr>
            </w:pPr>
          </w:p>
        </w:tc>
      </w:tr>
      <w:tr w14:paraId="7B1D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14:paraId="5509BB67">
            <w:pPr>
              <w:widowControl/>
              <w:jc w:val="center"/>
              <w:rPr>
                <w:rFonts w:ascii="宋体" w:hAnsi="Calibri" w:eastAsia="宋体" w:cs="Times New Roman"/>
                <w:szCs w:val="21"/>
              </w:rPr>
            </w:pPr>
            <w:r>
              <w:rPr>
                <w:rFonts w:hint="eastAsia" w:ascii="宋体" w:hAnsi="宋体" w:eastAsia="宋体" w:cs="Times New Roman"/>
                <w:szCs w:val="21"/>
              </w:rPr>
              <w:t>2</w:t>
            </w:r>
          </w:p>
        </w:tc>
        <w:tc>
          <w:tcPr>
            <w:tcW w:w="1261" w:type="dxa"/>
            <w:tcBorders>
              <w:top w:val="single" w:color="auto" w:sz="4" w:space="0"/>
              <w:left w:val="single" w:color="auto" w:sz="4" w:space="0"/>
              <w:bottom w:val="single" w:color="auto" w:sz="4" w:space="0"/>
              <w:right w:val="single" w:color="auto" w:sz="4" w:space="0"/>
            </w:tcBorders>
            <w:vAlign w:val="center"/>
          </w:tcPr>
          <w:p w14:paraId="299108A7">
            <w:pPr>
              <w:widowControl/>
              <w:spacing w:line="240" w:lineRule="atLeast"/>
              <w:jc w:val="center"/>
              <w:rPr>
                <w:rFonts w:ascii="仿宋_GB2312" w:hAnsi="宋体" w:eastAsia="仿宋_GB2312" w:cs="Times New Roman"/>
                <w:sz w:val="24"/>
                <w:szCs w:val="24"/>
              </w:rPr>
            </w:pPr>
          </w:p>
        </w:tc>
        <w:tc>
          <w:tcPr>
            <w:tcW w:w="2438" w:type="dxa"/>
            <w:tcBorders>
              <w:top w:val="single" w:color="auto" w:sz="4" w:space="0"/>
              <w:left w:val="single" w:color="auto" w:sz="4" w:space="0"/>
              <w:bottom w:val="single" w:color="auto" w:sz="4" w:space="0"/>
              <w:right w:val="single" w:color="auto" w:sz="4" w:space="0"/>
            </w:tcBorders>
            <w:vAlign w:val="center"/>
          </w:tcPr>
          <w:p w14:paraId="0445D37C">
            <w:pPr>
              <w:widowControl/>
              <w:spacing w:line="240" w:lineRule="atLeast"/>
              <w:jc w:val="center"/>
              <w:rPr>
                <w:rFonts w:ascii="宋体" w:hAnsi="Calibri" w:eastAsia="宋体" w:cs="Times New Roman"/>
                <w:szCs w:val="21"/>
              </w:rPr>
            </w:pPr>
          </w:p>
        </w:tc>
        <w:tc>
          <w:tcPr>
            <w:tcW w:w="2254" w:type="dxa"/>
            <w:tcBorders>
              <w:top w:val="single" w:color="auto" w:sz="4" w:space="0"/>
              <w:left w:val="single" w:color="auto" w:sz="4" w:space="0"/>
              <w:bottom w:val="single" w:color="auto" w:sz="4" w:space="0"/>
              <w:right w:val="single" w:color="auto" w:sz="4" w:space="0"/>
            </w:tcBorders>
            <w:vAlign w:val="center"/>
          </w:tcPr>
          <w:p w14:paraId="422FE2C9">
            <w:pPr>
              <w:snapToGrid w:val="0"/>
              <w:spacing w:line="240" w:lineRule="atLeast"/>
              <w:jc w:val="center"/>
              <w:rPr>
                <w:rFonts w:ascii="宋体" w:hAnsi="Calibri" w:eastAsia="宋体" w:cs="Times New Roman"/>
                <w:sz w:val="24"/>
                <w:szCs w:val="24"/>
              </w:rPr>
            </w:pPr>
          </w:p>
        </w:tc>
        <w:tc>
          <w:tcPr>
            <w:tcW w:w="2284" w:type="dxa"/>
            <w:tcBorders>
              <w:top w:val="single" w:color="auto" w:sz="4" w:space="0"/>
              <w:left w:val="single" w:color="auto" w:sz="4" w:space="0"/>
              <w:bottom w:val="single" w:color="auto" w:sz="4" w:space="0"/>
              <w:right w:val="single" w:color="auto" w:sz="4" w:space="0"/>
            </w:tcBorders>
            <w:vAlign w:val="center"/>
          </w:tcPr>
          <w:p w14:paraId="07E919A7">
            <w:pPr>
              <w:snapToGrid w:val="0"/>
              <w:spacing w:line="240" w:lineRule="atLeast"/>
              <w:jc w:val="center"/>
              <w:rPr>
                <w:rFonts w:ascii="宋体" w:hAnsi="Calibri" w:eastAsia="宋体" w:cs="Times New Roman"/>
                <w:sz w:val="24"/>
                <w:szCs w:val="24"/>
              </w:rPr>
            </w:pPr>
          </w:p>
        </w:tc>
      </w:tr>
      <w:tr w14:paraId="11DE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14:paraId="0D8CB55C">
            <w:pPr>
              <w:widowControl/>
              <w:jc w:val="center"/>
              <w:rPr>
                <w:rFonts w:ascii="宋体" w:hAnsi="Calibri" w:eastAsia="宋体" w:cs="Times New Roman"/>
                <w:szCs w:val="21"/>
              </w:rPr>
            </w:pPr>
            <w:r>
              <w:rPr>
                <w:rFonts w:hint="eastAsia" w:ascii="宋体" w:hAnsi="宋体" w:eastAsia="宋体" w:cs="Times New Roman"/>
                <w:szCs w:val="21"/>
              </w:rPr>
              <w:t>3</w:t>
            </w:r>
          </w:p>
        </w:tc>
        <w:tc>
          <w:tcPr>
            <w:tcW w:w="1261" w:type="dxa"/>
            <w:tcBorders>
              <w:top w:val="single" w:color="auto" w:sz="4" w:space="0"/>
              <w:left w:val="single" w:color="auto" w:sz="4" w:space="0"/>
              <w:bottom w:val="single" w:color="auto" w:sz="4" w:space="0"/>
              <w:right w:val="single" w:color="auto" w:sz="4" w:space="0"/>
            </w:tcBorders>
            <w:vAlign w:val="center"/>
          </w:tcPr>
          <w:p w14:paraId="3A68150B">
            <w:pPr>
              <w:widowControl/>
              <w:spacing w:line="240" w:lineRule="atLeast"/>
              <w:jc w:val="center"/>
              <w:rPr>
                <w:rFonts w:ascii="仿宋_GB2312" w:hAnsi="宋体" w:eastAsia="仿宋_GB2312" w:cs="Times New Roman"/>
                <w:sz w:val="24"/>
                <w:szCs w:val="24"/>
              </w:rPr>
            </w:pPr>
          </w:p>
        </w:tc>
        <w:tc>
          <w:tcPr>
            <w:tcW w:w="2438" w:type="dxa"/>
            <w:tcBorders>
              <w:top w:val="single" w:color="auto" w:sz="4" w:space="0"/>
              <w:left w:val="single" w:color="auto" w:sz="4" w:space="0"/>
              <w:bottom w:val="single" w:color="auto" w:sz="4" w:space="0"/>
              <w:right w:val="single" w:color="auto" w:sz="4" w:space="0"/>
            </w:tcBorders>
            <w:vAlign w:val="center"/>
          </w:tcPr>
          <w:p w14:paraId="3F5A9C75">
            <w:pPr>
              <w:widowControl/>
              <w:spacing w:line="240" w:lineRule="atLeast"/>
              <w:jc w:val="center"/>
              <w:rPr>
                <w:rFonts w:ascii="宋体" w:hAnsi="Calibri" w:eastAsia="宋体" w:cs="Times New Roman"/>
                <w:szCs w:val="21"/>
              </w:rPr>
            </w:pPr>
          </w:p>
        </w:tc>
        <w:tc>
          <w:tcPr>
            <w:tcW w:w="2254" w:type="dxa"/>
            <w:tcBorders>
              <w:top w:val="single" w:color="auto" w:sz="4" w:space="0"/>
              <w:left w:val="single" w:color="auto" w:sz="4" w:space="0"/>
              <w:bottom w:val="single" w:color="auto" w:sz="4" w:space="0"/>
              <w:right w:val="single" w:color="auto" w:sz="4" w:space="0"/>
            </w:tcBorders>
            <w:vAlign w:val="center"/>
          </w:tcPr>
          <w:p w14:paraId="3FA4ACCC">
            <w:pPr>
              <w:snapToGrid w:val="0"/>
              <w:spacing w:line="240" w:lineRule="atLeast"/>
              <w:jc w:val="center"/>
              <w:rPr>
                <w:rFonts w:ascii="宋体" w:hAnsi="Calibri" w:eastAsia="宋体" w:cs="Times New Roman"/>
                <w:sz w:val="24"/>
                <w:szCs w:val="24"/>
              </w:rPr>
            </w:pPr>
          </w:p>
        </w:tc>
        <w:tc>
          <w:tcPr>
            <w:tcW w:w="2284" w:type="dxa"/>
            <w:tcBorders>
              <w:top w:val="single" w:color="auto" w:sz="4" w:space="0"/>
              <w:left w:val="single" w:color="auto" w:sz="4" w:space="0"/>
              <w:bottom w:val="single" w:color="auto" w:sz="4" w:space="0"/>
              <w:right w:val="single" w:color="auto" w:sz="4" w:space="0"/>
            </w:tcBorders>
            <w:vAlign w:val="center"/>
          </w:tcPr>
          <w:p w14:paraId="130165AF">
            <w:pPr>
              <w:snapToGrid w:val="0"/>
              <w:spacing w:line="240" w:lineRule="atLeast"/>
              <w:jc w:val="center"/>
              <w:rPr>
                <w:rFonts w:ascii="宋体" w:hAnsi="Calibri" w:eastAsia="宋体" w:cs="Times New Roman"/>
                <w:sz w:val="24"/>
                <w:szCs w:val="24"/>
              </w:rPr>
            </w:pPr>
          </w:p>
        </w:tc>
      </w:tr>
      <w:tr w14:paraId="3574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14:paraId="04210B1A">
            <w:pPr>
              <w:widowControl/>
              <w:jc w:val="center"/>
              <w:rPr>
                <w:rFonts w:ascii="宋体" w:hAnsi="Calibri" w:eastAsia="宋体" w:cs="Times New Roman"/>
                <w:szCs w:val="21"/>
              </w:rPr>
            </w:pPr>
            <w:r>
              <w:rPr>
                <w:rFonts w:hint="eastAsia" w:ascii="宋体" w:hAnsi="宋体" w:eastAsia="宋体" w:cs="Times New Roman"/>
                <w:szCs w:val="21"/>
              </w:rPr>
              <w:t>4</w:t>
            </w:r>
          </w:p>
        </w:tc>
        <w:tc>
          <w:tcPr>
            <w:tcW w:w="1261" w:type="dxa"/>
            <w:tcBorders>
              <w:top w:val="single" w:color="auto" w:sz="4" w:space="0"/>
              <w:left w:val="single" w:color="auto" w:sz="4" w:space="0"/>
              <w:bottom w:val="single" w:color="auto" w:sz="4" w:space="0"/>
              <w:right w:val="single" w:color="auto" w:sz="4" w:space="0"/>
            </w:tcBorders>
            <w:vAlign w:val="center"/>
          </w:tcPr>
          <w:p w14:paraId="1269C148">
            <w:pPr>
              <w:widowControl/>
              <w:spacing w:line="240" w:lineRule="atLeast"/>
              <w:jc w:val="center"/>
              <w:rPr>
                <w:rFonts w:ascii="仿宋_GB2312" w:hAnsi="宋体" w:eastAsia="仿宋_GB2312" w:cs="Times New Roman"/>
                <w:sz w:val="24"/>
                <w:szCs w:val="24"/>
              </w:rPr>
            </w:pPr>
          </w:p>
        </w:tc>
        <w:tc>
          <w:tcPr>
            <w:tcW w:w="2438" w:type="dxa"/>
            <w:tcBorders>
              <w:top w:val="single" w:color="auto" w:sz="4" w:space="0"/>
              <w:left w:val="single" w:color="auto" w:sz="4" w:space="0"/>
              <w:bottom w:val="single" w:color="auto" w:sz="4" w:space="0"/>
              <w:right w:val="single" w:color="auto" w:sz="4" w:space="0"/>
            </w:tcBorders>
            <w:vAlign w:val="center"/>
          </w:tcPr>
          <w:p w14:paraId="272FF012">
            <w:pPr>
              <w:widowControl/>
              <w:spacing w:line="240" w:lineRule="atLeast"/>
              <w:jc w:val="center"/>
              <w:rPr>
                <w:rFonts w:ascii="宋体" w:hAnsi="Calibri" w:eastAsia="宋体" w:cs="Times New Roman"/>
                <w:szCs w:val="21"/>
              </w:rPr>
            </w:pPr>
          </w:p>
        </w:tc>
        <w:tc>
          <w:tcPr>
            <w:tcW w:w="2254" w:type="dxa"/>
            <w:tcBorders>
              <w:top w:val="single" w:color="auto" w:sz="4" w:space="0"/>
              <w:left w:val="single" w:color="auto" w:sz="4" w:space="0"/>
              <w:bottom w:val="single" w:color="auto" w:sz="4" w:space="0"/>
              <w:right w:val="single" w:color="auto" w:sz="4" w:space="0"/>
            </w:tcBorders>
            <w:vAlign w:val="center"/>
          </w:tcPr>
          <w:p w14:paraId="33B0980F">
            <w:pPr>
              <w:snapToGrid w:val="0"/>
              <w:spacing w:line="240" w:lineRule="atLeast"/>
              <w:jc w:val="center"/>
              <w:rPr>
                <w:rFonts w:ascii="宋体" w:hAnsi="Calibri" w:eastAsia="宋体" w:cs="Times New Roman"/>
                <w:sz w:val="24"/>
                <w:szCs w:val="24"/>
              </w:rPr>
            </w:pPr>
          </w:p>
        </w:tc>
        <w:tc>
          <w:tcPr>
            <w:tcW w:w="2284" w:type="dxa"/>
            <w:tcBorders>
              <w:top w:val="single" w:color="auto" w:sz="4" w:space="0"/>
              <w:left w:val="single" w:color="auto" w:sz="4" w:space="0"/>
              <w:bottom w:val="single" w:color="auto" w:sz="4" w:space="0"/>
              <w:right w:val="single" w:color="auto" w:sz="4" w:space="0"/>
            </w:tcBorders>
            <w:vAlign w:val="center"/>
          </w:tcPr>
          <w:p w14:paraId="2D1B45C3">
            <w:pPr>
              <w:snapToGrid w:val="0"/>
              <w:spacing w:line="240" w:lineRule="atLeast"/>
              <w:jc w:val="center"/>
              <w:rPr>
                <w:rFonts w:ascii="宋体" w:hAnsi="Calibri" w:eastAsia="宋体" w:cs="Times New Roman"/>
                <w:sz w:val="24"/>
                <w:szCs w:val="24"/>
              </w:rPr>
            </w:pPr>
          </w:p>
        </w:tc>
      </w:tr>
      <w:tr w14:paraId="5BE8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14:paraId="4D30677E">
            <w:pPr>
              <w:widowControl/>
              <w:jc w:val="center"/>
              <w:rPr>
                <w:rFonts w:ascii="宋体" w:hAnsi="Calibri" w:eastAsia="宋体" w:cs="Times New Roman"/>
                <w:szCs w:val="21"/>
              </w:rPr>
            </w:pPr>
            <w:r>
              <w:rPr>
                <w:rFonts w:hint="eastAsia" w:ascii="宋体" w:hAnsi="宋体" w:eastAsia="宋体" w:cs="Times New Roman"/>
                <w:szCs w:val="21"/>
              </w:rPr>
              <w:t>5</w:t>
            </w:r>
          </w:p>
        </w:tc>
        <w:tc>
          <w:tcPr>
            <w:tcW w:w="1261" w:type="dxa"/>
            <w:tcBorders>
              <w:top w:val="single" w:color="auto" w:sz="4" w:space="0"/>
              <w:left w:val="single" w:color="auto" w:sz="4" w:space="0"/>
              <w:bottom w:val="single" w:color="auto" w:sz="4" w:space="0"/>
              <w:right w:val="single" w:color="auto" w:sz="4" w:space="0"/>
            </w:tcBorders>
            <w:vAlign w:val="center"/>
          </w:tcPr>
          <w:p w14:paraId="03BAE88E">
            <w:pPr>
              <w:widowControl/>
              <w:spacing w:line="240" w:lineRule="atLeast"/>
              <w:jc w:val="center"/>
              <w:rPr>
                <w:rFonts w:ascii="仿宋_GB2312" w:hAnsi="宋体" w:eastAsia="仿宋_GB2312" w:cs="Times New Roman"/>
                <w:sz w:val="24"/>
                <w:szCs w:val="24"/>
              </w:rPr>
            </w:pPr>
          </w:p>
        </w:tc>
        <w:tc>
          <w:tcPr>
            <w:tcW w:w="2438" w:type="dxa"/>
            <w:tcBorders>
              <w:top w:val="single" w:color="auto" w:sz="4" w:space="0"/>
              <w:left w:val="single" w:color="auto" w:sz="4" w:space="0"/>
              <w:bottom w:val="single" w:color="auto" w:sz="4" w:space="0"/>
              <w:right w:val="single" w:color="auto" w:sz="4" w:space="0"/>
            </w:tcBorders>
            <w:vAlign w:val="center"/>
          </w:tcPr>
          <w:p w14:paraId="3387F88A">
            <w:pPr>
              <w:widowControl/>
              <w:spacing w:line="240" w:lineRule="atLeast"/>
              <w:jc w:val="center"/>
              <w:rPr>
                <w:rFonts w:ascii="宋体" w:hAnsi="Calibri" w:eastAsia="宋体" w:cs="Times New Roman"/>
                <w:szCs w:val="21"/>
              </w:rPr>
            </w:pPr>
          </w:p>
        </w:tc>
        <w:tc>
          <w:tcPr>
            <w:tcW w:w="2254" w:type="dxa"/>
            <w:tcBorders>
              <w:top w:val="single" w:color="auto" w:sz="4" w:space="0"/>
              <w:left w:val="single" w:color="auto" w:sz="4" w:space="0"/>
              <w:bottom w:val="single" w:color="auto" w:sz="4" w:space="0"/>
              <w:right w:val="single" w:color="auto" w:sz="4" w:space="0"/>
            </w:tcBorders>
            <w:vAlign w:val="center"/>
          </w:tcPr>
          <w:p w14:paraId="695CB924">
            <w:pPr>
              <w:snapToGrid w:val="0"/>
              <w:spacing w:line="240" w:lineRule="atLeast"/>
              <w:jc w:val="center"/>
              <w:rPr>
                <w:rFonts w:ascii="宋体" w:hAnsi="Calibri" w:eastAsia="宋体" w:cs="Times New Roman"/>
                <w:sz w:val="24"/>
                <w:szCs w:val="24"/>
              </w:rPr>
            </w:pPr>
          </w:p>
        </w:tc>
        <w:tc>
          <w:tcPr>
            <w:tcW w:w="2284" w:type="dxa"/>
            <w:tcBorders>
              <w:top w:val="single" w:color="auto" w:sz="4" w:space="0"/>
              <w:left w:val="single" w:color="auto" w:sz="4" w:space="0"/>
              <w:bottom w:val="single" w:color="auto" w:sz="4" w:space="0"/>
              <w:right w:val="single" w:color="auto" w:sz="4" w:space="0"/>
            </w:tcBorders>
            <w:vAlign w:val="center"/>
          </w:tcPr>
          <w:p w14:paraId="2724F1CF">
            <w:pPr>
              <w:snapToGrid w:val="0"/>
              <w:spacing w:line="240" w:lineRule="atLeast"/>
              <w:jc w:val="center"/>
              <w:rPr>
                <w:rFonts w:ascii="宋体" w:hAnsi="Calibri" w:eastAsia="宋体" w:cs="Times New Roman"/>
                <w:sz w:val="24"/>
                <w:szCs w:val="24"/>
              </w:rPr>
            </w:pPr>
          </w:p>
        </w:tc>
      </w:tr>
      <w:tr w14:paraId="0212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8" w:type="dxa"/>
            <w:tcBorders>
              <w:top w:val="single" w:color="auto" w:sz="4" w:space="0"/>
              <w:left w:val="single" w:color="auto" w:sz="4" w:space="0"/>
              <w:bottom w:val="single" w:color="auto" w:sz="4" w:space="0"/>
              <w:right w:val="single" w:color="auto" w:sz="4" w:space="0"/>
            </w:tcBorders>
            <w:vAlign w:val="center"/>
          </w:tcPr>
          <w:p w14:paraId="20639AD6">
            <w:pPr>
              <w:widowControl/>
              <w:jc w:val="center"/>
              <w:rPr>
                <w:rFonts w:ascii="宋体" w:hAnsi="Calibri" w:eastAsia="宋体" w:cs="Times New Roman"/>
                <w:szCs w:val="21"/>
              </w:rPr>
            </w:pPr>
            <w:r>
              <w:rPr>
                <w:rFonts w:hint="eastAsia" w:ascii="宋体" w:hAnsi="宋体" w:eastAsia="宋体" w:cs="Times New Roman"/>
                <w:szCs w:val="21"/>
              </w:rPr>
              <w:t>……</w:t>
            </w:r>
          </w:p>
        </w:tc>
        <w:tc>
          <w:tcPr>
            <w:tcW w:w="1261" w:type="dxa"/>
            <w:tcBorders>
              <w:top w:val="single" w:color="auto" w:sz="4" w:space="0"/>
              <w:left w:val="single" w:color="auto" w:sz="4" w:space="0"/>
              <w:bottom w:val="single" w:color="auto" w:sz="4" w:space="0"/>
              <w:right w:val="single" w:color="auto" w:sz="4" w:space="0"/>
            </w:tcBorders>
            <w:vAlign w:val="center"/>
          </w:tcPr>
          <w:p w14:paraId="584133EB">
            <w:pPr>
              <w:widowControl/>
              <w:spacing w:line="240" w:lineRule="atLeast"/>
              <w:jc w:val="center"/>
              <w:rPr>
                <w:rFonts w:ascii="仿宋_GB2312" w:hAnsi="宋体" w:eastAsia="仿宋_GB2312" w:cs="Times New Roman"/>
                <w:sz w:val="24"/>
                <w:szCs w:val="24"/>
              </w:rPr>
            </w:pPr>
          </w:p>
        </w:tc>
        <w:tc>
          <w:tcPr>
            <w:tcW w:w="2438" w:type="dxa"/>
            <w:tcBorders>
              <w:top w:val="single" w:color="auto" w:sz="4" w:space="0"/>
              <w:left w:val="single" w:color="auto" w:sz="4" w:space="0"/>
              <w:bottom w:val="single" w:color="auto" w:sz="4" w:space="0"/>
              <w:right w:val="single" w:color="auto" w:sz="4" w:space="0"/>
            </w:tcBorders>
            <w:vAlign w:val="center"/>
          </w:tcPr>
          <w:p w14:paraId="682E43B4">
            <w:pPr>
              <w:widowControl/>
              <w:spacing w:line="240" w:lineRule="atLeast"/>
              <w:jc w:val="center"/>
              <w:rPr>
                <w:rFonts w:ascii="宋体" w:hAnsi="Calibri" w:eastAsia="宋体" w:cs="Times New Roman"/>
                <w:szCs w:val="21"/>
              </w:rPr>
            </w:pPr>
          </w:p>
        </w:tc>
        <w:tc>
          <w:tcPr>
            <w:tcW w:w="2254" w:type="dxa"/>
            <w:tcBorders>
              <w:top w:val="single" w:color="auto" w:sz="4" w:space="0"/>
              <w:left w:val="single" w:color="auto" w:sz="4" w:space="0"/>
              <w:bottom w:val="single" w:color="auto" w:sz="4" w:space="0"/>
              <w:right w:val="single" w:color="auto" w:sz="4" w:space="0"/>
            </w:tcBorders>
            <w:vAlign w:val="center"/>
          </w:tcPr>
          <w:p w14:paraId="590E5E3C">
            <w:pPr>
              <w:snapToGrid w:val="0"/>
              <w:spacing w:line="240" w:lineRule="atLeast"/>
              <w:jc w:val="center"/>
              <w:rPr>
                <w:rFonts w:ascii="宋体" w:hAnsi="Calibri" w:eastAsia="宋体" w:cs="Times New Roman"/>
                <w:sz w:val="24"/>
                <w:szCs w:val="24"/>
              </w:rPr>
            </w:pPr>
          </w:p>
        </w:tc>
        <w:tc>
          <w:tcPr>
            <w:tcW w:w="2284" w:type="dxa"/>
            <w:tcBorders>
              <w:top w:val="single" w:color="auto" w:sz="4" w:space="0"/>
              <w:left w:val="single" w:color="auto" w:sz="4" w:space="0"/>
              <w:bottom w:val="single" w:color="auto" w:sz="4" w:space="0"/>
              <w:right w:val="single" w:color="auto" w:sz="4" w:space="0"/>
            </w:tcBorders>
            <w:vAlign w:val="center"/>
          </w:tcPr>
          <w:p w14:paraId="07D7ED43">
            <w:pPr>
              <w:snapToGrid w:val="0"/>
              <w:spacing w:line="240" w:lineRule="atLeast"/>
              <w:jc w:val="center"/>
              <w:rPr>
                <w:rFonts w:ascii="宋体" w:hAnsi="Calibri" w:eastAsia="宋体" w:cs="Times New Roman"/>
                <w:sz w:val="24"/>
                <w:szCs w:val="24"/>
              </w:rPr>
            </w:pPr>
          </w:p>
        </w:tc>
      </w:tr>
    </w:tbl>
    <w:p w14:paraId="53D0EBCC">
      <w:pPr>
        <w:widowControl/>
        <w:shd w:val="clear" w:color="auto" w:fill="FFFFFF"/>
        <w:snapToGrid w:val="0"/>
        <w:spacing w:line="440" w:lineRule="exact"/>
        <w:ind w:firstLine="560" w:firstLineChars="200"/>
        <w:jc w:val="left"/>
        <w:rPr>
          <w:rFonts w:ascii="宋体" w:hAnsi="宋体" w:eastAsia="宋体" w:cs="Times New Roman"/>
          <w:kern w:val="0"/>
          <w:sz w:val="28"/>
          <w:szCs w:val="28"/>
          <w:u w:val="single"/>
        </w:rPr>
      </w:pPr>
      <w:r>
        <w:rPr>
          <w:rFonts w:hint="eastAsia" w:ascii="宋体" w:hAnsi="宋体" w:eastAsia="宋体" w:cs="Times New Roman"/>
          <w:kern w:val="0"/>
          <w:sz w:val="28"/>
          <w:szCs w:val="28"/>
          <w:u w:val="single"/>
        </w:rPr>
        <w:t>注：本表须为打印，手写无效。</w:t>
      </w:r>
    </w:p>
    <w:p w14:paraId="50C5F7F2">
      <w:pPr>
        <w:widowControl/>
        <w:shd w:val="clear" w:color="auto" w:fill="FFFFFF"/>
        <w:snapToGrid w:val="0"/>
        <w:spacing w:line="440" w:lineRule="exact"/>
        <w:ind w:firstLine="560" w:firstLineChars="200"/>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w:t>
      </w:r>
    </w:p>
    <w:p w14:paraId="024ADDB2">
      <w:pPr>
        <w:widowControl/>
        <w:shd w:val="clear" w:color="auto" w:fill="FFFFFF"/>
        <w:snapToGrid w:val="0"/>
        <w:spacing w:line="440" w:lineRule="exact"/>
        <w:ind w:firstLine="560" w:firstLineChars="200"/>
        <w:jc w:val="left"/>
        <w:rPr>
          <w:rFonts w:ascii="宋体" w:hAnsi="宋体" w:eastAsia="宋体" w:cs="Times New Roman"/>
          <w:kern w:val="0"/>
          <w:sz w:val="28"/>
          <w:szCs w:val="28"/>
        </w:rPr>
      </w:pPr>
      <w:r>
        <w:rPr>
          <w:rFonts w:hint="eastAsia" w:ascii="宋体" w:hAnsi="宋体" w:eastAsia="宋体" w:cs="Times New Roman"/>
          <w:kern w:val="0"/>
          <w:sz w:val="28"/>
          <w:szCs w:val="28"/>
        </w:rPr>
        <w:t xml:space="preserve"> </w:t>
      </w:r>
    </w:p>
    <w:p w14:paraId="2B2B66C9">
      <w:pPr>
        <w:widowControl/>
        <w:shd w:val="clear" w:color="auto" w:fill="FFFFFF"/>
        <w:snapToGrid w:val="0"/>
        <w:spacing w:line="440" w:lineRule="exact"/>
        <w:ind w:firstLine="560" w:firstLineChars="200"/>
        <w:jc w:val="left"/>
        <w:rPr>
          <w:rFonts w:ascii="宋体" w:hAnsi="宋体" w:eastAsia="宋体" w:cs="Times New Roman"/>
          <w:kern w:val="0"/>
          <w:sz w:val="24"/>
          <w:szCs w:val="24"/>
        </w:rPr>
      </w:pPr>
      <w:r>
        <w:rPr>
          <w:rFonts w:hint="eastAsia" w:ascii="宋体" w:hAnsi="宋体" w:eastAsia="宋体" w:cs="Times New Roman"/>
          <w:kern w:val="0"/>
          <w:sz w:val="28"/>
          <w:szCs w:val="28"/>
        </w:rPr>
        <w:t>报价单位（盖章）：</w:t>
      </w:r>
    </w:p>
    <w:p w14:paraId="2CD0D8B3">
      <w:pPr>
        <w:widowControl/>
        <w:shd w:val="clear" w:color="auto" w:fill="FFFFFF"/>
        <w:snapToGrid w:val="0"/>
        <w:spacing w:line="440" w:lineRule="exact"/>
        <w:ind w:firstLine="560" w:firstLineChars="200"/>
        <w:jc w:val="left"/>
        <w:rPr>
          <w:rFonts w:ascii="宋体" w:hAnsi="宋体" w:eastAsia="宋体" w:cs="Times New Roman"/>
          <w:kern w:val="0"/>
          <w:sz w:val="28"/>
          <w:szCs w:val="28"/>
        </w:rPr>
      </w:pPr>
      <w:r>
        <w:rPr>
          <w:rFonts w:hint="eastAsia" w:ascii="宋体" w:hAnsi="宋体" w:eastAsia="宋体" w:cs="Times New Roman"/>
          <w:kern w:val="0"/>
          <w:sz w:val="28"/>
          <w:szCs w:val="28"/>
        </w:rPr>
        <w:t>法人代表人或个体工商户经营者或被授权人（签字或盖章）：</w:t>
      </w:r>
    </w:p>
    <w:p w14:paraId="5CFCA7CF">
      <w:pPr>
        <w:spacing w:line="500" w:lineRule="exact"/>
        <w:rPr>
          <w:rFonts w:ascii="宋体" w:hAnsi="宋体" w:eastAsia="宋体" w:cs="Times New Roman"/>
          <w:b/>
          <w:sz w:val="28"/>
          <w:szCs w:val="28"/>
        </w:rPr>
      </w:pPr>
      <w:r>
        <w:rPr>
          <w:rFonts w:hint="eastAsia" w:ascii="宋体" w:hAnsi="宋体" w:eastAsia="宋体" w:cs="Times New Roman"/>
          <w:b/>
          <w:sz w:val="28"/>
          <w:szCs w:val="28"/>
        </w:rPr>
        <w:t xml:space="preserve"> </w:t>
      </w:r>
    </w:p>
    <w:p w14:paraId="719EF24C">
      <w:pPr>
        <w:spacing w:line="500" w:lineRule="exact"/>
        <w:rPr>
          <w:rFonts w:ascii="宋体" w:hAnsi="宋体" w:eastAsia="宋体" w:cs="Times New Roman"/>
          <w:b/>
          <w:sz w:val="28"/>
          <w:szCs w:val="28"/>
        </w:rPr>
      </w:pPr>
      <w:r>
        <w:rPr>
          <w:rFonts w:hint="eastAsia" w:ascii="宋体" w:hAnsi="宋体" w:eastAsia="宋体" w:cs="Times New Roman"/>
          <w:b/>
          <w:sz w:val="28"/>
          <w:szCs w:val="28"/>
        </w:rPr>
        <w:t xml:space="preserve"> </w:t>
      </w:r>
    </w:p>
    <w:p w14:paraId="4E5B97E5">
      <w:pPr>
        <w:spacing w:line="500" w:lineRule="exact"/>
        <w:rPr>
          <w:rFonts w:ascii="宋体" w:hAnsi="宋体" w:eastAsia="宋体" w:cs="Times New Roman"/>
          <w:b/>
          <w:sz w:val="28"/>
          <w:szCs w:val="28"/>
        </w:rPr>
      </w:pPr>
      <w:r>
        <w:rPr>
          <w:rFonts w:hint="eastAsia" w:ascii="宋体" w:hAnsi="宋体" w:eastAsia="宋体" w:cs="Times New Roman"/>
          <w:b/>
          <w:sz w:val="28"/>
          <w:szCs w:val="28"/>
        </w:rPr>
        <w:t xml:space="preserve"> </w:t>
      </w:r>
    </w:p>
    <w:p w14:paraId="364D9B8F">
      <w:pPr>
        <w:spacing w:line="500" w:lineRule="exact"/>
        <w:rPr>
          <w:rFonts w:ascii="宋体" w:hAnsi="宋体" w:eastAsia="宋体" w:cs="Times New Roman"/>
          <w:b/>
          <w:sz w:val="28"/>
          <w:szCs w:val="28"/>
        </w:rPr>
      </w:pPr>
      <w:r>
        <w:rPr>
          <w:rFonts w:hint="eastAsia" w:ascii="宋体" w:hAnsi="宋体" w:eastAsia="宋体" w:cs="Times New Roman"/>
          <w:b/>
          <w:sz w:val="28"/>
          <w:szCs w:val="28"/>
        </w:rPr>
        <w:t xml:space="preserve"> </w:t>
      </w:r>
    </w:p>
    <w:p w14:paraId="2B8FD59D">
      <w:pPr>
        <w:spacing w:line="500" w:lineRule="exact"/>
        <w:rPr>
          <w:rFonts w:ascii="宋体" w:hAnsi="宋体" w:eastAsia="宋体" w:cs="Times New Roman"/>
          <w:b/>
          <w:sz w:val="28"/>
          <w:szCs w:val="28"/>
        </w:rPr>
      </w:pPr>
      <w:r>
        <w:rPr>
          <w:rFonts w:hint="eastAsia" w:ascii="宋体" w:hAnsi="宋体" w:eastAsia="宋体" w:cs="Times New Roman"/>
          <w:b/>
          <w:sz w:val="28"/>
          <w:szCs w:val="28"/>
        </w:rPr>
        <w:t xml:space="preserve"> </w:t>
      </w:r>
    </w:p>
    <w:p w14:paraId="0D162576">
      <w:pPr>
        <w:spacing w:line="500" w:lineRule="exact"/>
        <w:rPr>
          <w:rFonts w:ascii="宋体" w:hAnsi="宋体" w:eastAsia="宋体" w:cs="Times New Roman"/>
          <w:b/>
          <w:sz w:val="28"/>
          <w:szCs w:val="28"/>
        </w:rPr>
      </w:pPr>
      <w:r>
        <w:rPr>
          <w:rFonts w:hint="eastAsia" w:ascii="宋体" w:hAnsi="宋体" w:eastAsia="宋体" w:cs="Times New Roman"/>
          <w:b/>
          <w:sz w:val="28"/>
          <w:szCs w:val="28"/>
        </w:rPr>
        <w:t xml:space="preserve"> </w:t>
      </w:r>
    </w:p>
    <w:p w14:paraId="0B766637">
      <w:pPr>
        <w:spacing w:line="500" w:lineRule="exact"/>
        <w:rPr>
          <w:rFonts w:ascii="宋体" w:hAnsi="宋体" w:eastAsia="宋体" w:cs="Times New Roman"/>
          <w:b/>
          <w:sz w:val="28"/>
          <w:szCs w:val="28"/>
        </w:rPr>
      </w:pPr>
      <w:r>
        <w:rPr>
          <w:rFonts w:hint="eastAsia" w:ascii="宋体" w:hAnsi="宋体" w:eastAsia="宋体" w:cs="Times New Roman"/>
          <w:b/>
          <w:sz w:val="28"/>
          <w:szCs w:val="28"/>
        </w:rPr>
        <w:t xml:space="preserve"> </w:t>
      </w:r>
    </w:p>
    <w:p w14:paraId="056EEBCF">
      <w:pPr>
        <w:spacing w:line="500" w:lineRule="exact"/>
        <w:rPr>
          <w:rFonts w:ascii="宋体" w:hAnsi="宋体" w:eastAsia="宋体" w:cs="Times New Roman"/>
          <w:b/>
          <w:sz w:val="28"/>
          <w:szCs w:val="28"/>
        </w:rPr>
      </w:pPr>
      <w:r>
        <w:rPr>
          <w:rFonts w:hint="eastAsia" w:ascii="宋体" w:hAnsi="宋体" w:eastAsia="宋体" w:cs="Times New Roman"/>
          <w:b/>
          <w:sz w:val="28"/>
          <w:szCs w:val="28"/>
        </w:rPr>
        <w:t xml:space="preserve"> </w:t>
      </w:r>
    </w:p>
    <w:p w14:paraId="31FE0E18">
      <w:pPr>
        <w:spacing w:line="500" w:lineRule="exact"/>
        <w:rPr>
          <w:rFonts w:ascii="宋体" w:hAnsi="宋体" w:eastAsia="宋体" w:cs="Times New Roman"/>
          <w:b/>
          <w:sz w:val="28"/>
          <w:szCs w:val="28"/>
        </w:rPr>
      </w:pPr>
      <w:r>
        <w:rPr>
          <w:rFonts w:hint="eastAsia" w:ascii="宋体" w:hAnsi="宋体" w:eastAsia="宋体" w:cs="Times New Roman"/>
          <w:b/>
          <w:sz w:val="28"/>
          <w:szCs w:val="28"/>
        </w:rPr>
        <w:t xml:space="preserve"> </w:t>
      </w:r>
    </w:p>
    <w:p w14:paraId="19FF2C4E">
      <w:pPr>
        <w:spacing w:line="500" w:lineRule="exact"/>
        <w:rPr>
          <w:rFonts w:ascii="宋体" w:hAnsi="宋体" w:eastAsia="宋体" w:cs="Times New Roman"/>
          <w:b/>
          <w:sz w:val="28"/>
          <w:szCs w:val="28"/>
        </w:rPr>
      </w:pPr>
      <w:r>
        <w:rPr>
          <w:rFonts w:hint="eastAsia" w:ascii="宋体" w:hAnsi="宋体" w:eastAsia="宋体" w:cs="Times New Roman"/>
          <w:b/>
          <w:sz w:val="28"/>
          <w:szCs w:val="28"/>
        </w:rPr>
        <w:t xml:space="preserve"> </w:t>
      </w:r>
    </w:p>
    <w:p w14:paraId="3B483646">
      <w:pPr>
        <w:rPr>
          <w:rFonts w:ascii="仿宋" w:hAnsi="仿宋" w:eastAsia="仿宋" w:cs="Times New Roman"/>
          <w:b/>
          <w:sz w:val="28"/>
          <w:szCs w:val="28"/>
        </w:rPr>
      </w:pPr>
      <w:r>
        <w:rPr>
          <w:rFonts w:hint="eastAsia" w:ascii="仿宋" w:hAnsi="仿宋" w:eastAsia="仿宋" w:cs="Times New Roman"/>
          <w:b/>
          <w:sz w:val="28"/>
          <w:szCs w:val="28"/>
        </w:rPr>
        <w:br w:type="page"/>
      </w:r>
    </w:p>
    <w:p w14:paraId="2B8ECE8B">
      <w:pPr>
        <w:spacing w:line="500" w:lineRule="exact"/>
        <w:rPr>
          <w:rFonts w:ascii="宋体" w:hAnsi="宋体" w:eastAsia="宋体" w:cs="Times New Roman"/>
          <w:b/>
          <w:sz w:val="28"/>
          <w:szCs w:val="28"/>
        </w:rPr>
      </w:pPr>
      <w:r>
        <w:rPr>
          <w:rFonts w:hint="eastAsia" w:ascii="仿宋" w:hAnsi="仿宋" w:eastAsia="仿宋" w:cs="Times New Roman"/>
          <w:b/>
          <w:sz w:val="28"/>
          <w:szCs w:val="28"/>
        </w:rPr>
        <w:t>附件六</w:t>
      </w:r>
      <w:r>
        <w:rPr>
          <w:rFonts w:hint="eastAsia" w:ascii="宋体" w:hAnsi="宋体" w:eastAsia="宋体" w:cs="Times New Roman"/>
          <w:b/>
          <w:sz w:val="28"/>
          <w:szCs w:val="28"/>
        </w:rPr>
        <w:t xml:space="preserve">：             </w:t>
      </w:r>
    </w:p>
    <w:p w14:paraId="53219C98">
      <w:pPr>
        <w:spacing w:line="500" w:lineRule="exact"/>
        <w:jc w:val="center"/>
        <w:rPr>
          <w:rFonts w:ascii="宋体" w:hAnsi="宋体" w:eastAsia="宋体" w:cs="Times New Roman"/>
          <w:b/>
          <w:sz w:val="28"/>
          <w:szCs w:val="28"/>
        </w:rPr>
      </w:pPr>
      <w:r>
        <w:rPr>
          <w:rFonts w:hint="eastAsia" w:ascii="宋体" w:hAnsi="宋体" w:eastAsia="宋体" w:cs="Times New Roman"/>
          <w:b/>
          <w:sz w:val="28"/>
          <w:szCs w:val="28"/>
        </w:rPr>
        <w:t>质 保 承 诺 书</w:t>
      </w:r>
    </w:p>
    <w:p w14:paraId="3DF6A4F8">
      <w:pPr>
        <w:spacing w:line="500" w:lineRule="exact"/>
        <w:rPr>
          <w:rFonts w:ascii="仿宋" w:hAnsi="仿宋" w:eastAsia="仿宋" w:cs="Times New Roman"/>
          <w:sz w:val="28"/>
          <w:szCs w:val="28"/>
        </w:rPr>
      </w:pPr>
      <w:r>
        <w:rPr>
          <w:rFonts w:hint="eastAsia" w:ascii="仿宋" w:hAnsi="仿宋" w:eastAsia="仿宋" w:cs="Times New Roman"/>
          <w:sz w:val="28"/>
          <w:szCs w:val="28"/>
        </w:rPr>
        <w:t>启东市汇龙中学：</w:t>
      </w:r>
    </w:p>
    <w:p w14:paraId="3AD3E3C4">
      <w:pPr>
        <w:spacing w:line="52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（投标人全称）授权（姓  名）（职  务）为全权代表，参加</w:t>
      </w:r>
      <w:r>
        <w:rPr>
          <w:rFonts w:hint="eastAsia" w:ascii="仿宋" w:hAnsi="仿宋" w:eastAsia="仿宋" w:cs="Times New Roman"/>
          <w:sz w:val="28"/>
          <w:szCs w:val="28"/>
          <w:u w:val="single"/>
        </w:rPr>
        <w:t>启东市汇龙中学灭火器采购与安装项目</w:t>
      </w:r>
      <w:r>
        <w:rPr>
          <w:rFonts w:hint="eastAsia" w:ascii="仿宋" w:hAnsi="仿宋" w:eastAsia="仿宋" w:cs="Times New Roman"/>
          <w:sz w:val="28"/>
          <w:szCs w:val="28"/>
        </w:rPr>
        <w:t>招标的有关活动，并宣布同意如下：</w:t>
      </w:r>
    </w:p>
    <w:p w14:paraId="23FAF3AC">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1. 我方承诺干粉灭火器质保五年，非人为因素外，确保五年内灭火器压力指示在正常绿区范围，如灭火器压力指示有异常五年内免费更换。</w:t>
      </w:r>
    </w:p>
    <w:p w14:paraId="1EFC0FB1">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2. 质保期内，同一商品、同一质量问题连续两次仍无法正常使用，我方将无条件给予更新或退货。</w:t>
      </w:r>
    </w:p>
    <w:p w14:paraId="63FA7692">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3．在免费质保期内，我方在接到用户单位电话通知后，将在1小时之内上门服务，一般问题2小时内到场解决，重大故障4个小时到场解决。如需更换货物或送修，必须在48小时内提供备用货物，紧急情况下随叫随到。</w:t>
      </w:r>
    </w:p>
    <w:p w14:paraId="716CE6BA">
      <w:pPr>
        <w:widowControl/>
        <w:spacing w:line="460" w:lineRule="exact"/>
        <w:ind w:firstLine="560" w:firstLineChars="200"/>
        <w:rPr>
          <w:rFonts w:ascii="仿宋" w:hAnsi="仿宋" w:eastAsia="仿宋" w:cs="Times New Roman"/>
          <w:kern w:val="0"/>
          <w:sz w:val="28"/>
          <w:szCs w:val="28"/>
        </w:rPr>
      </w:pPr>
      <w:r>
        <w:rPr>
          <w:rFonts w:hint="eastAsia" w:ascii="仿宋" w:hAnsi="仿宋" w:eastAsia="仿宋" w:cs="Times New Roman"/>
          <w:kern w:val="0"/>
          <w:sz w:val="28"/>
          <w:szCs w:val="28"/>
        </w:rPr>
        <w:t>4．与本项目有关的一切往来通讯请寄：</w:t>
      </w:r>
    </w:p>
    <w:p w14:paraId="1D3E0352">
      <w:pPr>
        <w:spacing w:line="52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 </w:t>
      </w:r>
    </w:p>
    <w:p w14:paraId="790BBE91">
      <w:pPr>
        <w:spacing w:line="52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地址：             邮编：</w:t>
      </w:r>
    </w:p>
    <w:p w14:paraId="7D9EE708">
      <w:pPr>
        <w:spacing w:line="52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电话：             传真：</w:t>
      </w:r>
    </w:p>
    <w:p w14:paraId="7034A6AC">
      <w:pPr>
        <w:spacing w:line="52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投标代表姓名：        职务：</w:t>
      </w:r>
    </w:p>
    <w:p w14:paraId="59B45B2A">
      <w:pPr>
        <w:spacing w:line="52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报价单位名称（加盖单位公章）：</w:t>
      </w:r>
    </w:p>
    <w:p w14:paraId="39E95AA9">
      <w:pPr>
        <w:spacing w:line="520" w:lineRule="exact"/>
        <w:ind w:firstLine="560" w:firstLineChars="200"/>
        <w:rPr>
          <w:rFonts w:ascii="仿宋" w:hAnsi="仿宋" w:eastAsia="仿宋" w:cs="Times New Roman"/>
          <w:sz w:val="28"/>
          <w:szCs w:val="28"/>
          <w:shd w:val="clear" w:color="auto" w:fill="FFFFFF"/>
        </w:rPr>
      </w:pPr>
      <w:r>
        <w:rPr>
          <w:rFonts w:hint="eastAsia" w:ascii="仿宋" w:hAnsi="仿宋" w:eastAsia="仿宋" w:cs="Times New Roman"/>
          <w:sz w:val="28"/>
          <w:szCs w:val="28"/>
        </w:rPr>
        <w:t>日期：        年    月     日</w:t>
      </w:r>
    </w:p>
    <w:p w14:paraId="18BD5A56">
      <w:pPr>
        <w:widowControl/>
        <w:spacing w:before="466" w:after="452" w:line="420" w:lineRule="atLeast"/>
        <w:rPr>
          <w:rFonts w:ascii="仿宋" w:hAnsi="仿宋" w:eastAsia="仿宋" w:cs="Times New Roman"/>
          <w:kern w:val="0"/>
          <w:sz w:val="28"/>
          <w:szCs w:val="28"/>
          <w:shd w:val="clear" w:color="auto" w:fill="FFFFFF"/>
        </w:rPr>
      </w:pPr>
      <w:r>
        <w:rPr>
          <w:rFonts w:hint="eastAsia" w:ascii="仿宋" w:hAnsi="仿宋" w:eastAsia="仿宋" w:cs="Times New Roman"/>
          <w:kern w:val="0"/>
          <w:sz w:val="28"/>
          <w:szCs w:val="28"/>
          <w:shd w:val="clear" w:color="auto" w:fill="FFFFFF"/>
        </w:rPr>
        <w:t xml:space="preserve"> </w:t>
      </w:r>
    </w:p>
    <w:p w14:paraId="40B7EA98"/>
    <w:p w14:paraId="2007A62D">
      <w:pPr>
        <w:widowControl/>
        <w:spacing w:line="460" w:lineRule="exact"/>
        <w:jc w:val="left"/>
        <w:rPr>
          <w:rFonts w:ascii="宋体" w:hAnsi="宋体" w:eastAsia="宋体" w:cs="Times New Roman"/>
          <w:b/>
          <w:kern w:val="0"/>
          <w:sz w:val="28"/>
          <w:szCs w:val="28"/>
          <w:shd w:val="clear" w:color="auto" w:fill="FFFFFF"/>
        </w:rPr>
      </w:pPr>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832FB"/>
    <w:multiLevelType w:val="singleLevel"/>
    <w:tmpl w:val="14C832FB"/>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9DA"/>
    <w:rsid w:val="000034C8"/>
    <w:rsid w:val="001B2EA9"/>
    <w:rsid w:val="001F3110"/>
    <w:rsid w:val="0024302E"/>
    <w:rsid w:val="00260335"/>
    <w:rsid w:val="00264D48"/>
    <w:rsid w:val="002B0BA7"/>
    <w:rsid w:val="00334A1D"/>
    <w:rsid w:val="003C62AC"/>
    <w:rsid w:val="003F130B"/>
    <w:rsid w:val="00411CAA"/>
    <w:rsid w:val="00446B17"/>
    <w:rsid w:val="00460D15"/>
    <w:rsid w:val="00464820"/>
    <w:rsid w:val="004B7D51"/>
    <w:rsid w:val="004E6E9D"/>
    <w:rsid w:val="00561B68"/>
    <w:rsid w:val="0057172B"/>
    <w:rsid w:val="0060112A"/>
    <w:rsid w:val="006024E1"/>
    <w:rsid w:val="00613657"/>
    <w:rsid w:val="00613BF7"/>
    <w:rsid w:val="006E1DAB"/>
    <w:rsid w:val="007048E3"/>
    <w:rsid w:val="00731CF7"/>
    <w:rsid w:val="0073740C"/>
    <w:rsid w:val="00751700"/>
    <w:rsid w:val="007E7BA2"/>
    <w:rsid w:val="00813124"/>
    <w:rsid w:val="00815D71"/>
    <w:rsid w:val="0085176A"/>
    <w:rsid w:val="00863DDA"/>
    <w:rsid w:val="00884E60"/>
    <w:rsid w:val="008A5AFF"/>
    <w:rsid w:val="008C5333"/>
    <w:rsid w:val="009110BB"/>
    <w:rsid w:val="00944340"/>
    <w:rsid w:val="009517F8"/>
    <w:rsid w:val="009928DD"/>
    <w:rsid w:val="00993403"/>
    <w:rsid w:val="009B6497"/>
    <w:rsid w:val="00A077F0"/>
    <w:rsid w:val="00A4787D"/>
    <w:rsid w:val="00A512C9"/>
    <w:rsid w:val="00A639BB"/>
    <w:rsid w:val="00B7449F"/>
    <w:rsid w:val="00B87EFB"/>
    <w:rsid w:val="00BD4EC3"/>
    <w:rsid w:val="00BF6E2C"/>
    <w:rsid w:val="00C056A9"/>
    <w:rsid w:val="00C651A5"/>
    <w:rsid w:val="00C75F34"/>
    <w:rsid w:val="00CE1773"/>
    <w:rsid w:val="00D17FF8"/>
    <w:rsid w:val="00DD69DA"/>
    <w:rsid w:val="00E12C54"/>
    <w:rsid w:val="00E44BF4"/>
    <w:rsid w:val="00E9395A"/>
    <w:rsid w:val="00EB756D"/>
    <w:rsid w:val="00EC237E"/>
    <w:rsid w:val="00EF1187"/>
    <w:rsid w:val="00FE4678"/>
    <w:rsid w:val="63D55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Table Paragraph"/>
    <w:basedOn w:val="1"/>
    <w:unhideWhenUsed/>
    <w:qFormat/>
    <w:uiPriority w:val="1"/>
    <w:pPr>
      <w:autoSpaceDE w:val="0"/>
      <w:autoSpaceDN w:val="0"/>
      <w:adjustRightInd w:val="0"/>
      <w:jc w:val="left"/>
    </w:pPr>
    <w:rPr>
      <w:rFonts w:ascii="Times New Roman" w:hAnsi="Times New Roman" w:eastAsia="宋体" w:cs="Times New Roman"/>
      <w:kern w:val="0"/>
      <w:sz w:val="24"/>
      <w:szCs w:val="24"/>
    </w:rPr>
  </w:style>
  <w:style w:type="character" w:customStyle="1" w:styleId="10">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6034</Words>
  <Characters>6643</Characters>
  <Lines>54</Lines>
  <Paragraphs>15</Paragraphs>
  <TotalTime>420</TotalTime>
  <ScaleCrop>false</ScaleCrop>
  <LinksUpToDate>false</LinksUpToDate>
  <CharactersWithSpaces>7361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2025-10-04T01:24:00Z</dcterms:created>
  <dc:creator>MM</dc:creator>
  <cp:lastModifiedBy>Administrator</cp:lastModifiedBy>
  <cp:lastPrinted>2025-10-10T01:35:00Z</cp:lastPrinted>
  <dcterms:modified xsi:type="dcterms:W3CDTF">2025-10-12T23:19:31Z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eyJoZGlkIjoiYzYzOWIwMDRmNTIzZmFjMjZhN2IyYmYzNzRmZjFkOTAifQ==</vt:lpwstr>
  </property>
  <property fmtid="{D5CDD505-2E9C-101B-9397-08002B2CF9AE}" pid="3" name="KSOProductBuildVer">
    <vt:lpwstr>2052-12.1.0.22529</vt:lpwstr>
  </property>
  <property fmtid="{D5CDD505-2E9C-101B-9397-08002B2CF9AE}" pid="4" name="ICV">
    <vt:lpwstr>8CEFCFACF6AD47619679FB329634BD76_12</vt:lpwstr>
  </property>
</Properties>
</file>