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52" w:rsidRDefault="00DE6A38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龙中学消防维保</w:t>
      </w:r>
      <w:proofErr w:type="gramEnd"/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服务项目</w:t>
      </w:r>
    </w:p>
    <w:p w:rsidR="00893652" w:rsidRDefault="00DE6A38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市场询价公告</w:t>
      </w:r>
    </w:p>
    <w:p w:rsidR="00893652" w:rsidRDefault="00DE6A3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龙中学消防维保</w:t>
      </w:r>
      <w:proofErr w:type="gramEnd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服务项目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即将实施，现就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龙中学消防维保</w:t>
      </w:r>
      <w:proofErr w:type="gramEnd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服务项目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进行市场询价调研。</w:t>
      </w:r>
    </w:p>
    <w:p w:rsidR="00893652" w:rsidRDefault="00DE6A38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</w:rPr>
        <w:t>采购</w:t>
      </w:r>
      <w:r>
        <w:rPr>
          <w:rFonts w:ascii="Times New Roman" w:hAnsi="Times New Roman" w:cs="Times New Roman" w:hint="eastAsia"/>
          <w:sz w:val="24"/>
          <w:szCs w:val="24"/>
        </w:rPr>
        <w:t>需求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：</w:t>
      </w:r>
    </w:p>
    <w:p w:rsidR="00893652" w:rsidRDefault="00DE6A38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Toc421519552"/>
      <w:bookmarkStart w:id="1" w:name="_Toc20050"/>
      <w:proofErr w:type="gram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维保总</w:t>
      </w:r>
      <w:proofErr w:type="gramEnd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要求</w:t>
      </w:r>
    </w:p>
    <w:tbl>
      <w:tblPr>
        <w:tblW w:w="912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7681"/>
      </w:tblGrid>
      <w:tr w:rsidR="00893652">
        <w:trPr>
          <w:trHeight w:val="523"/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维保要求</w:t>
            </w:r>
            <w:proofErr w:type="gramEnd"/>
          </w:p>
        </w:tc>
      </w:tr>
      <w:tr w:rsidR="00893652">
        <w:trPr>
          <w:trHeight w:val="1259"/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维护检测、保养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供应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按照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GA503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2004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《建筑消防设施检测技术规程》要求，每月至少对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维保范围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内的所有消防系统进行一次全面维护检测和常规保养（来前需提前与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联系），对故障原因进行排查与解决处理。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小时响应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报修电话，并向消防管理人员提供操作培训与技术咨询服务。</w:t>
            </w:r>
          </w:p>
        </w:tc>
      </w:tr>
      <w:tr w:rsidR="00893652">
        <w:trPr>
          <w:trHeight w:val="1107"/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故障维修</w:t>
            </w:r>
          </w:p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当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接到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故障抢修通知后，应在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小时内派员到达现场对该故障进行排除。一般故障应该立即排除，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严重故障维保方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应增加技术力量在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小时内修复，外送修理项目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日内完成修复，期间采取应急安全措施，并报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总务处备案。</w:t>
            </w:r>
          </w:p>
        </w:tc>
      </w:tr>
      <w:tr w:rsidR="00893652">
        <w:trPr>
          <w:trHeight w:val="1362"/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.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维保技术人员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、检测装备要求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须指派项目负责经理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名，固定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名责任心强、业务过硬和无违法犯罪记录的技术人员负责消防设施检测、维保，上岗技术人员应当通过消防特有工种职业技能鉴定，持有中级及以上等级证。检测用工具、设备应满足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GA502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2004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《消防监督技术装备配备》要求。</w:t>
            </w:r>
          </w:p>
        </w:tc>
      </w:tr>
      <w:tr w:rsidR="00893652">
        <w:trPr>
          <w:trHeight w:val="2972"/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4.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罚则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必须对消防设施进行检查、调试、维修，使整个消防系统具备报警、联动、自动灭火等应有的消防功能，各项运行状态正常，若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不能够在规定的时间内对发生故障的设备进行维修，发生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次维修不及时的，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有权单方面终止合同，全部责任由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负责；②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不能够按照日常维保要求，不能够在规定的时间内进行日常维保，若发生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次维保不及时的，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有权单方面终止合同；③若因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失职、怠工等原因造成消防设施运行不正常，经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或公安消防机关检查发现存在严重问题，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有权终止与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合作关系，视作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违约，并追究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相关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责任，由此造成的损失由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全部承担；④若因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失职、怠工等原因使得消防设施运行不正常，造成严重后果的，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应承担所有法律责任及经济赔偿责任。</w:t>
            </w:r>
          </w:p>
        </w:tc>
      </w:tr>
      <w:tr w:rsidR="00893652">
        <w:trPr>
          <w:trHeight w:val="2533"/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其它要求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ind w:leftChars="172" w:left="676" w:hangingChars="150" w:hanging="315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(1)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因重大节日、活动消防安全需要，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免费配合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对消防设施进行检测和消防检查、消防培训，以及其它相关工作。做好消防设施资料建档工作，及时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更新台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帐资料。</w:t>
            </w:r>
          </w:p>
          <w:p w:rsidR="00893652" w:rsidRDefault="00DE6A38">
            <w:pPr>
              <w:spacing w:line="300" w:lineRule="exact"/>
              <w:ind w:leftChars="172" w:left="571" w:hangingChars="100" w:hanging="21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(2)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“日常维保要求”是按照招标人的基本要求，投保人的报价包含但不仅限于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提出的“日常维保要求”的全部内容。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必须按照《建筑消防设施检测技术规程》规定配合完成对学校消防设施维护、保养项目的年检。</w:t>
            </w:r>
          </w:p>
          <w:p w:rsidR="00893652" w:rsidRDefault="00DE6A38">
            <w:pPr>
              <w:spacing w:line="300" w:lineRule="exact"/>
              <w:ind w:leftChars="172" w:left="571" w:hangingChars="100" w:hanging="21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(3)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每月月末之前，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必须将月度维护、检测记录报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备案。《消防设施维护、检测记录表》应由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所派检测人员和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保卫处人员共同签字确认。</w:t>
            </w:r>
          </w:p>
        </w:tc>
      </w:tr>
      <w:tr w:rsidR="00893652">
        <w:trPr>
          <w:trHeight w:val="812"/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szCs w:val="21"/>
              </w:rPr>
              <w:t>.</w:t>
            </w:r>
            <w:r>
              <w:rPr>
                <w:rFonts w:ascii="宋体" w:hAnsi="宋体" w:cs="宋体" w:hint="eastAsia"/>
                <w:b/>
                <w:szCs w:val="21"/>
              </w:rPr>
              <w:t>计划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ind w:leftChars="228" w:left="794" w:hangingChars="150" w:hanging="315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制定维修方案及进度计划，报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核准，每次更换材料时需向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现场负责人申报，批准后实施。</w:t>
            </w:r>
          </w:p>
        </w:tc>
      </w:tr>
      <w:tr w:rsidR="00893652">
        <w:trPr>
          <w:trHeight w:val="540"/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7</w:t>
            </w:r>
            <w:r>
              <w:rPr>
                <w:rFonts w:ascii="宋体" w:hAnsi="宋体" w:cs="宋体" w:hint="eastAsia"/>
                <w:b/>
                <w:szCs w:val="21"/>
              </w:rPr>
              <w:t>.</w:t>
            </w:r>
            <w:r>
              <w:rPr>
                <w:rFonts w:ascii="宋体" w:hAnsi="宋体" w:cs="宋体" w:hint="eastAsia"/>
                <w:b/>
                <w:szCs w:val="21"/>
              </w:rPr>
              <w:t>台账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ind w:leftChars="172" w:left="676" w:hangingChars="150" w:hanging="315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在日常维保过程中要及时做好每次的维保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台账并报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采购单位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总务处审核和备案。</w:t>
            </w:r>
          </w:p>
        </w:tc>
      </w:tr>
      <w:tr w:rsidR="00893652">
        <w:trPr>
          <w:trHeight w:val="534"/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szCs w:val="21"/>
              </w:rPr>
              <w:t>.</w:t>
            </w:r>
            <w:r>
              <w:rPr>
                <w:rFonts w:ascii="宋体" w:hAnsi="宋体" w:cs="宋体" w:hint="eastAsia"/>
                <w:b/>
                <w:szCs w:val="21"/>
              </w:rPr>
              <w:t>损坏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ind w:leftChars="172" w:left="676" w:hangingChars="150" w:hanging="315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在维保过程中，若对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原有设施损坏，则由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承担全部责任。</w:t>
            </w:r>
          </w:p>
        </w:tc>
      </w:tr>
    </w:tbl>
    <w:p w:rsidR="00893652" w:rsidRDefault="00893652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893652" w:rsidRDefault="00DE6A38">
      <w:pPr>
        <w:spacing w:line="300" w:lineRule="exact"/>
        <w:ind w:left="482"/>
        <w:jc w:val="center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具体要求（一）</w:t>
      </w:r>
    </w:p>
    <w:p w:rsidR="00893652" w:rsidRDefault="00DE6A38">
      <w:pPr>
        <w:spacing w:line="300" w:lineRule="exact"/>
        <w:ind w:firstLineChars="200" w:firstLine="422"/>
        <w:jc w:val="left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cs="宋体" w:hint="eastAsia"/>
          <w:b/>
          <w:szCs w:val="21"/>
        </w:rPr>
        <w:t>项目范围大致分布如下</w:t>
      </w:r>
      <w:r>
        <w:rPr>
          <w:rFonts w:ascii="宋体" w:hAnsi="宋体" w:cs="宋体" w:hint="eastAsia"/>
          <w:b/>
          <w:szCs w:val="21"/>
        </w:rPr>
        <w:t>,</w:t>
      </w:r>
      <w:r>
        <w:rPr>
          <w:rFonts w:ascii="宋体" w:hAnsi="宋体" w:cs="宋体" w:hint="eastAsia"/>
          <w:b/>
          <w:szCs w:val="21"/>
        </w:rPr>
        <w:t>维保单位要对所有建筑设施的数量进场核查，并按照相关分类详细记录：</w:t>
      </w:r>
    </w:p>
    <w:tbl>
      <w:tblPr>
        <w:tblW w:w="8885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984"/>
        <w:gridCol w:w="567"/>
        <w:gridCol w:w="1134"/>
        <w:gridCol w:w="709"/>
        <w:gridCol w:w="3827"/>
      </w:tblGrid>
      <w:tr w:rsidR="00893652" w:rsidTr="005B7C17">
        <w:tc>
          <w:tcPr>
            <w:tcW w:w="66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系统类型</w:t>
            </w: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维护频率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（次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年）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校内所有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维护检测内容</w:t>
            </w:r>
          </w:p>
        </w:tc>
      </w:tr>
      <w:tr w:rsidR="00893652" w:rsidTr="005B7C17">
        <w:tc>
          <w:tcPr>
            <w:tcW w:w="664" w:type="dxa"/>
            <w:vMerge w:val="restart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应急疏散</w:t>
            </w: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火灾应急照明灯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483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断电时、检查测试其亮度及使用时间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疏散指示标志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692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断电时、检查测试其亮度及使用时间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防火门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扇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171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现场手动测试</w:t>
            </w:r>
          </w:p>
        </w:tc>
      </w:tr>
      <w:tr w:rsidR="00893652" w:rsidTr="005B7C17">
        <w:tc>
          <w:tcPr>
            <w:tcW w:w="66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灭火器</w:t>
            </w: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灭火器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573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现场检查指针是否在绿区及使用时间</w:t>
            </w:r>
          </w:p>
        </w:tc>
      </w:tr>
      <w:tr w:rsidR="00893652" w:rsidTr="005B7C17">
        <w:tc>
          <w:tcPr>
            <w:tcW w:w="664" w:type="dxa"/>
            <w:vMerge w:val="restart"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消火栓系统、喷淋系统、消防供水设施</w:t>
            </w:r>
          </w:p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室内消火栓箱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301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检测消火栓箱的外观、通道和箱内配件是否齐全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室内消火栓按钮启泵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模拟按钮动作试验，测试消火栓按钮能否启动消火栓泵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消防泵（消防供水系统）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现场手动、消防中心远程启动和模拟自动控制启动测试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消防供配电控制柜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检测供电和运行状态，手自动启泵测试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消防喷淋稳压泵（消防供水系统）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现场手动、放水模拟自动控制启动测试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消防水池水箱（消防供水系统）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检查是否漏水，液位是否正常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稳压泵控制柜（消防供水系统）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检测供电和运行状态，手自动启泵测试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消防喷淋末端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检查阀门开启状况，是否漏水，对腐蚀部位进行刷漆、加油等防腐处理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消防喷淋头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281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管网检查、清污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室外消火栓及接合器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现场检查、手动放水</w:t>
            </w:r>
          </w:p>
        </w:tc>
      </w:tr>
      <w:tr w:rsidR="00893652" w:rsidTr="005B7C17">
        <w:trPr>
          <w:trHeight w:val="272"/>
        </w:trPr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阀门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现场检查、开闭不漏水</w:t>
            </w:r>
          </w:p>
        </w:tc>
      </w:tr>
      <w:tr w:rsidR="00893652" w:rsidTr="005B7C17">
        <w:tc>
          <w:tcPr>
            <w:tcW w:w="664" w:type="dxa"/>
            <w:vMerge w:val="restart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消防报警系统</w:t>
            </w: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消防机器设备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现场检查报警设备是否正常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烟感温感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123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是否出现火警故障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手报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3827" w:type="dxa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是否出现火警故障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声光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3827" w:type="dxa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是否出现火警故障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广播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94</w:t>
            </w:r>
          </w:p>
        </w:tc>
        <w:tc>
          <w:tcPr>
            <w:tcW w:w="3827" w:type="dxa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是否出现火警故障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模块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3827" w:type="dxa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是否出现火警故障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827" w:type="dxa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是否出现火警故障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层显</w:t>
            </w:r>
            <w:proofErr w:type="gramEnd"/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827" w:type="dxa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是否出现火警故障</w:t>
            </w:r>
          </w:p>
        </w:tc>
      </w:tr>
      <w:tr w:rsidR="00893652" w:rsidTr="005B7C17">
        <w:tc>
          <w:tcPr>
            <w:tcW w:w="664" w:type="dxa"/>
            <w:vMerge w:val="restart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其他</w:t>
            </w: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可燃气体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现场检查、是否报警</w:t>
            </w:r>
          </w:p>
        </w:tc>
      </w:tr>
      <w:tr w:rsidR="00893652" w:rsidTr="005B7C17">
        <w:tc>
          <w:tcPr>
            <w:tcW w:w="664" w:type="dxa"/>
            <w:vMerge/>
            <w:vAlign w:val="center"/>
          </w:tcPr>
          <w:p w:rsidR="00893652" w:rsidRDefault="008936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防火卷帘</w:t>
            </w:r>
          </w:p>
        </w:tc>
        <w:tc>
          <w:tcPr>
            <w:tcW w:w="567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:rsidR="00893652" w:rsidRDefault="00DE6A3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现场手动、联动</w:t>
            </w:r>
          </w:p>
        </w:tc>
      </w:tr>
    </w:tbl>
    <w:p w:rsidR="00893652" w:rsidRDefault="00DE6A38">
      <w:pPr>
        <w:spacing w:line="300" w:lineRule="exact"/>
        <w:ind w:left="482"/>
        <w:jc w:val="center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lastRenderedPageBreak/>
        <w:t>具体要求</w:t>
      </w:r>
      <w:r>
        <w:rPr>
          <w:rFonts w:ascii="宋体" w:hAnsi="宋体" w:cs="宋体" w:hint="eastAsia"/>
          <w:b/>
          <w:color w:val="000000"/>
          <w:szCs w:val="21"/>
        </w:rPr>
        <w:t>(</w:t>
      </w:r>
      <w:r>
        <w:rPr>
          <w:rFonts w:ascii="宋体" w:hAnsi="宋体" w:cs="宋体" w:hint="eastAsia"/>
          <w:b/>
          <w:color w:val="000000"/>
          <w:szCs w:val="21"/>
        </w:rPr>
        <w:t>二</w:t>
      </w:r>
      <w:r>
        <w:rPr>
          <w:rFonts w:ascii="宋体" w:hAnsi="宋体" w:cs="宋体" w:hint="eastAsia"/>
          <w:b/>
          <w:color w:val="000000"/>
          <w:szCs w:val="21"/>
        </w:rPr>
        <w:t>)</w:t>
      </w:r>
      <w:r>
        <w:rPr>
          <w:rFonts w:ascii="宋体" w:hAnsi="宋体" w:cs="宋体" w:hint="eastAsia"/>
          <w:b/>
          <w:color w:val="000000"/>
          <w:szCs w:val="21"/>
        </w:rPr>
        <w:t>：强弱电报警、控制系统。</w:t>
      </w:r>
    </w:p>
    <w:p w:rsidR="00893652" w:rsidRDefault="00893652">
      <w:pPr>
        <w:spacing w:line="300" w:lineRule="exact"/>
        <w:ind w:left="482"/>
        <w:jc w:val="center"/>
        <w:rPr>
          <w:rFonts w:ascii="宋体" w:hAnsi="宋体" w:cs="宋体"/>
          <w:b/>
          <w:color w:val="000000"/>
          <w:szCs w:val="21"/>
        </w:rPr>
      </w:pPr>
    </w:p>
    <w:tbl>
      <w:tblPr>
        <w:tblW w:w="95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6096"/>
        <w:gridCol w:w="1791"/>
      </w:tblGrid>
      <w:tr w:rsidR="00893652">
        <w:trPr>
          <w:trHeight w:val="520"/>
          <w:tblCellSpacing w:w="0" w:type="dxa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维保项目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维保内容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最低维保次数</w:t>
            </w:r>
          </w:p>
        </w:tc>
      </w:tr>
      <w:tr w:rsidR="00893652">
        <w:trPr>
          <w:trHeight w:val="174"/>
          <w:tblCellSpacing w:w="0" w:type="dxa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消防供配电设施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、消防电源配电箱处主、备电源切换功能。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、应急电源充、放电试验。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、消防电源主、备电源供电能力测试。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、非消防电源的联动切断试验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风机、消防泵等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、检测若有异常需及时修复。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次</w:t>
            </w:r>
          </w:p>
        </w:tc>
      </w:tr>
      <w:tr w:rsidR="00893652">
        <w:trPr>
          <w:trHeight w:val="930"/>
          <w:tblCellSpacing w:w="0" w:type="dxa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防火门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、组件齐全完好，紧固件无松动现象。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、现场手动、机械操作应正常、关闭时严密。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、检测若有异常需及时修复。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次</w:t>
            </w:r>
          </w:p>
        </w:tc>
      </w:tr>
    </w:tbl>
    <w:p w:rsidR="00893652" w:rsidRDefault="00893652">
      <w:pPr>
        <w:spacing w:line="300" w:lineRule="exact"/>
        <w:rPr>
          <w:rFonts w:ascii="宋体" w:hAnsi="宋体" w:cs="宋体"/>
          <w:b/>
          <w:color w:val="000000"/>
          <w:szCs w:val="21"/>
        </w:rPr>
      </w:pPr>
    </w:p>
    <w:p w:rsidR="00893652" w:rsidRDefault="00DE6A38">
      <w:pPr>
        <w:spacing w:line="300" w:lineRule="exact"/>
        <w:jc w:val="center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具体要求</w:t>
      </w:r>
      <w:r>
        <w:rPr>
          <w:rFonts w:ascii="宋体" w:hAnsi="宋体" w:cs="宋体" w:hint="eastAsia"/>
          <w:b/>
          <w:color w:val="000000"/>
          <w:szCs w:val="21"/>
        </w:rPr>
        <w:t>(</w:t>
      </w:r>
      <w:r>
        <w:rPr>
          <w:rFonts w:ascii="宋体" w:hAnsi="宋体" w:cs="宋体" w:hint="eastAsia"/>
          <w:b/>
          <w:color w:val="000000"/>
          <w:szCs w:val="21"/>
        </w:rPr>
        <w:t>三</w:t>
      </w:r>
      <w:r>
        <w:rPr>
          <w:rFonts w:ascii="宋体" w:hAnsi="宋体" w:cs="宋体" w:hint="eastAsia"/>
          <w:b/>
          <w:color w:val="000000"/>
          <w:szCs w:val="21"/>
        </w:rPr>
        <w:t>)</w:t>
      </w:r>
      <w:r>
        <w:rPr>
          <w:rFonts w:ascii="宋体" w:hAnsi="宋体" w:cs="宋体" w:hint="eastAsia"/>
          <w:b/>
          <w:color w:val="000000"/>
          <w:szCs w:val="21"/>
        </w:rPr>
        <w:t>：水系统。</w:t>
      </w:r>
    </w:p>
    <w:p w:rsidR="00893652" w:rsidRDefault="00893652">
      <w:pPr>
        <w:spacing w:line="300" w:lineRule="exact"/>
        <w:jc w:val="center"/>
        <w:rPr>
          <w:rFonts w:ascii="宋体" w:hAnsi="宋体" w:cs="宋体"/>
          <w:b/>
          <w:color w:val="000000"/>
          <w:szCs w:val="21"/>
        </w:rPr>
      </w:pPr>
    </w:p>
    <w:tbl>
      <w:tblPr>
        <w:tblW w:w="96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6804"/>
        <w:gridCol w:w="1541"/>
      </w:tblGrid>
      <w:tr w:rsidR="00893652">
        <w:trPr>
          <w:trHeight w:val="371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维保项目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维保内容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最低维保次数</w:t>
            </w:r>
          </w:p>
        </w:tc>
      </w:tr>
      <w:tr w:rsidR="00893652">
        <w:trPr>
          <w:trHeight w:val="460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消防管路系统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、检测稳压泵的启动频率是否正常。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、检查管道有无机械损伤、油漆脱落、锈蚀等，管道固定是否牢固，管内有无堵塞，管道有无渗漏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、对不少于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20%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的管道末端进行放水，确保管道内的水质良好。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、对水流指示器的报警功能进行检查。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、检测若有异常需及时修复。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次</w:t>
            </w:r>
          </w:p>
        </w:tc>
      </w:tr>
      <w:tr w:rsidR="00893652">
        <w:trPr>
          <w:trHeight w:val="460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稳压泵及气压水罐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、检查是否能够自动加压。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、打开试验排水阀，检查减水时能否自动供水，加压装置及供水装置压力表是否显示正常。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、检测若有异常需及时修复。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次</w:t>
            </w:r>
          </w:p>
        </w:tc>
      </w:tr>
      <w:tr w:rsidR="00893652">
        <w:trPr>
          <w:trHeight w:val="460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消防水泵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、泵房控制柜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处启动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水泵、消防主机控制室启动水泵，运行及反馈信号。</w:t>
            </w:r>
          </w:p>
          <w:p w:rsidR="00893652" w:rsidRDefault="00DE6A38">
            <w:pPr>
              <w:spacing w:line="300" w:lineRule="exact"/>
              <w:ind w:left="315" w:hangingChars="150" w:hanging="31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、检查消防水泵动力运行是否可靠，水泵能否正常运转，流量和压力能否保证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;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电力上有无保证不间断供电设施，其性能是否良好。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、检查主、备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泵能否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自动切换；检查阀杆是否缺油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、检查压力表是否变形、水泵启动后动作是否正常。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、启动水泵后，打开试验阀，观察压力保持情况。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、检测若有异常需及时修复。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、每年对消防喷淋、生活水泵保养一次。电机线圈测试，泵体外表、泵房内管道、储水包外表等进行油漆，清洗更换轴承、盘根，添加润滑油等。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次</w:t>
            </w:r>
          </w:p>
        </w:tc>
      </w:tr>
      <w:tr w:rsidR="00893652">
        <w:trPr>
          <w:trHeight w:val="460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水泵接合器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、检查橡胶垫圈等密封件有无损坏、老化或丢失等情况。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、检查外表油漆有无脱落，有无锈蚀。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、检测若有异常需及时修复。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次</w:t>
            </w:r>
          </w:p>
        </w:tc>
      </w:tr>
      <w:tr w:rsidR="00893652">
        <w:trPr>
          <w:trHeight w:val="460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室内消防栓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、消火栓和消防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卷盘供水阀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不应有渗漏现象。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、消防水枪、水带、消防卷盘及全部附件齐全良好，卷盘转动灵活。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、报警按钮、指示灯及控制线路功能正常，无故障。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、消火栓箱及箱内配装的消防部件的外观无破损、涂层无脱落，箱门玻璃完好无缺。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消火拴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、供水阀门及消防卷盘等所有转动部位是否有缺失润滑油现象。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在每个消火栓箱内登记表上，每月由维保人员签名一次。检测若有异常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lastRenderedPageBreak/>
              <w:t>需及时修复。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每月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次</w:t>
            </w:r>
          </w:p>
        </w:tc>
      </w:tr>
      <w:tr w:rsidR="00893652">
        <w:trPr>
          <w:trHeight w:val="460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室外消防栓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、用专用扳手转动消火栓启闭杆，观察其灵活性。是否缺失润滑油。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、检查橡胶垫圈等密封件有无损坏、老化或丢失等情况。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、检查栓体外表油漆有无脱落，有无锈蚀。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、入冬前检查消火栓的防冻设施是否完好。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、重点部位消火栓，每年应逐一进行一次出水试验；非重点部位消火栓按其总数的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％—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％，进行实际出水试验。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、保持室外消火栓配套器材和标志的完整有效。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、在每个消火栓箱内登记表上，每月签名一次。检测若有异常需及时修复。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每季度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次</w:t>
            </w:r>
          </w:p>
        </w:tc>
      </w:tr>
      <w:tr w:rsidR="00893652">
        <w:trPr>
          <w:trHeight w:val="460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灭火器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、检查保险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栓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是否完好，钢瓶气密性。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、干粉灭火器检查压力表，指针应在压力表绿区。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、在每个灭火器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瓶检查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情况登记表上，每月由维保人员签名一次。查出有问题的灭火器应及时登记，并集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中进行充装、维修。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每月抽测，全年覆盖在每瓶登记表上由维保人员签名</w:t>
            </w:r>
          </w:p>
        </w:tc>
      </w:tr>
      <w:tr w:rsidR="00893652">
        <w:trPr>
          <w:trHeight w:val="460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疏散指示、应急照明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、检查疏散指示、应急照明外观是否完好。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、测试蓄电池是否正常工作，指示灯、照明灯是否正常。</w:t>
            </w:r>
          </w:p>
          <w:p w:rsidR="00893652" w:rsidRDefault="00DE6A3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、查出有问题的疏散指示、应急照明应及时登记，并集中进行维修。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52" w:rsidRDefault="00DE6A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每月抽测，全年覆盖</w:t>
            </w:r>
          </w:p>
        </w:tc>
      </w:tr>
    </w:tbl>
    <w:p w:rsidR="00893652" w:rsidRDefault="00DE6A38">
      <w:pPr>
        <w:snapToGrid w:val="0"/>
        <w:ind w:firstLine="56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二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报价</w:t>
      </w:r>
      <w:r>
        <w:rPr>
          <w:rFonts w:ascii="Times New Roman" w:hAnsi="Times New Roman" w:cs="Times New Roman"/>
          <w:sz w:val="24"/>
          <w:szCs w:val="24"/>
        </w:rPr>
        <w:t>供应商的要求：</w:t>
      </w:r>
    </w:p>
    <w:p w:rsidR="00893652" w:rsidRDefault="00DE6A38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1.</w:t>
      </w:r>
      <w:r>
        <w:rPr>
          <w:rFonts w:ascii="Times New Roman" w:hAnsi="Times New Roman" w:hint="eastAsia"/>
          <w:kern w:val="2"/>
          <w:szCs w:val="24"/>
        </w:rPr>
        <w:t>符合《中华人民共和国政府采购法》第二十二条的规定；</w:t>
      </w:r>
    </w:p>
    <w:p w:rsidR="00893652" w:rsidRDefault="00DE6A38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2.</w:t>
      </w:r>
      <w:r>
        <w:rPr>
          <w:rFonts w:ascii="Times New Roman" w:hAnsi="Times New Roman" w:hint="eastAsia"/>
          <w:kern w:val="2"/>
          <w:szCs w:val="24"/>
        </w:rPr>
        <w:t>未被“信用中国”网站（</w:t>
      </w:r>
      <w:r>
        <w:rPr>
          <w:rFonts w:ascii="Times New Roman" w:hAnsi="Times New Roman" w:hint="eastAsia"/>
          <w:kern w:val="2"/>
          <w:szCs w:val="24"/>
        </w:rPr>
        <w:t>www.creditchina.gov.cn</w:t>
      </w:r>
      <w:r>
        <w:rPr>
          <w:rFonts w:ascii="Times New Roman" w:hAnsi="Times New Roman" w:hint="eastAsia"/>
          <w:kern w:val="2"/>
          <w:szCs w:val="24"/>
        </w:rPr>
        <w:t>）列入失信被执行人、重大税收违法案件当事人名单、政府采购严重失信行为记录名单；</w:t>
      </w:r>
    </w:p>
    <w:p w:rsidR="00893652" w:rsidRDefault="00DE6A38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3.</w:t>
      </w:r>
      <w:r>
        <w:rPr>
          <w:rFonts w:ascii="Times New Roman" w:hAnsi="Times New Roman" w:hint="eastAsia"/>
          <w:kern w:val="2"/>
          <w:szCs w:val="24"/>
        </w:rPr>
        <w:t>报价供应商具有有效的营业执照；</w:t>
      </w:r>
    </w:p>
    <w:p w:rsidR="00893652" w:rsidRDefault="00DE6A38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三、约定事项</w:t>
      </w:r>
    </w:p>
    <w:p w:rsidR="00893652" w:rsidRDefault="00DE6A38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1</w:t>
      </w:r>
      <w:r>
        <w:rPr>
          <w:rFonts w:ascii="Times New Roman" w:hAnsi="Times New Roman" w:hint="eastAsia"/>
          <w:kern w:val="2"/>
          <w:szCs w:val="24"/>
        </w:rPr>
        <w:t>、灭火器充装、更换及消防栓更换的材料费由学校负责（收集和存放由维保单位负责），校内消防供水管道损坏漏水，由学校负责，所需的这两项经费，由学校另行支付，不包含在本报价内。</w:t>
      </w:r>
    </w:p>
    <w:p w:rsidR="00893652" w:rsidRDefault="00DE6A38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2</w:t>
      </w:r>
      <w:r>
        <w:rPr>
          <w:rFonts w:ascii="Times New Roman" w:hAnsi="Times New Roman" w:hint="eastAsia"/>
          <w:kern w:val="2"/>
          <w:szCs w:val="24"/>
        </w:rPr>
        <w:t>、其他设施设备（包括电动机等）的维护、保养、含于本报价，维修材料及施工，消防年检费用由校方负责。维保方要确保设施设备正常运作，且能够通过消防检查。</w:t>
      </w:r>
    </w:p>
    <w:p w:rsidR="00893652" w:rsidRDefault="00DE6A38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3</w:t>
      </w:r>
      <w:r>
        <w:rPr>
          <w:rFonts w:ascii="Times New Roman" w:hAnsi="Times New Roman" w:hint="eastAsia"/>
          <w:kern w:val="2"/>
          <w:szCs w:val="24"/>
        </w:rPr>
        <w:t>、由维保单位提供消火栓、灭火器检查登记表。并由维保人员在每个消火栓箱内登记表上，每月检查时签名一次。在每个灭火器</w:t>
      </w:r>
      <w:proofErr w:type="gramStart"/>
      <w:r>
        <w:rPr>
          <w:rFonts w:ascii="Times New Roman" w:hAnsi="Times New Roman" w:hint="eastAsia"/>
          <w:kern w:val="2"/>
          <w:szCs w:val="24"/>
        </w:rPr>
        <w:t>瓶检查</w:t>
      </w:r>
      <w:proofErr w:type="gramEnd"/>
      <w:r>
        <w:rPr>
          <w:rFonts w:ascii="Times New Roman" w:hAnsi="Times New Roman" w:hint="eastAsia"/>
          <w:kern w:val="2"/>
          <w:szCs w:val="24"/>
        </w:rPr>
        <w:t>情况登记表上，每月签</w:t>
      </w:r>
      <w:r>
        <w:rPr>
          <w:rFonts w:ascii="Times New Roman" w:hAnsi="Times New Roman" w:hint="eastAsia"/>
          <w:kern w:val="2"/>
          <w:szCs w:val="24"/>
        </w:rPr>
        <w:t>名一次。查出有问题的灭火器应及时</w:t>
      </w:r>
      <w:proofErr w:type="gramStart"/>
      <w:r>
        <w:rPr>
          <w:rFonts w:ascii="Times New Roman" w:hAnsi="Times New Roman" w:hint="eastAsia"/>
          <w:kern w:val="2"/>
          <w:szCs w:val="24"/>
        </w:rPr>
        <w:t>交学校</w:t>
      </w:r>
      <w:proofErr w:type="gramEnd"/>
      <w:r>
        <w:rPr>
          <w:rFonts w:ascii="Times New Roman" w:hAnsi="Times New Roman" w:hint="eastAsia"/>
          <w:kern w:val="2"/>
          <w:szCs w:val="24"/>
        </w:rPr>
        <w:t>处理。</w:t>
      </w:r>
    </w:p>
    <w:p w:rsidR="00893652" w:rsidRDefault="00DE6A38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4</w:t>
      </w:r>
      <w:r>
        <w:rPr>
          <w:rFonts w:ascii="Times New Roman" w:hAnsi="Times New Roman" w:hint="eastAsia"/>
          <w:kern w:val="2"/>
          <w:szCs w:val="24"/>
        </w:rPr>
        <w:t>、由维保单位完成“江苏省单位消防安全管理系统社会单位”操作系统中有关二维码（包括标志为维保人员扫的</w:t>
      </w:r>
      <w:proofErr w:type="gramStart"/>
      <w:r>
        <w:rPr>
          <w:rFonts w:ascii="Times New Roman" w:hAnsi="Times New Roman" w:hint="eastAsia"/>
          <w:kern w:val="2"/>
          <w:szCs w:val="24"/>
        </w:rPr>
        <w:t>和非维保人</w:t>
      </w:r>
      <w:proofErr w:type="gramEnd"/>
      <w:r>
        <w:rPr>
          <w:rFonts w:ascii="Times New Roman" w:hAnsi="Times New Roman" w:hint="eastAsia"/>
          <w:kern w:val="2"/>
          <w:szCs w:val="24"/>
        </w:rPr>
        <w:t>员扫的）</w:t>
      </w:r>
      <w:proofErr w:type="gramStart"/>
      <w:r>
        <w:rPr>
          <w:rFonts w:ascii="Times New Roman" w:hAnsi="Times New Roman" w:hint="eastAsia"/>
          <w:kern w:val="2"/>
          <w:szCs w:val="24"/>
        </w:rPr>
        <w:t>的扫码工作</w:t>
      </w:r>
      <w:proofErr w:type="gramEnd"/>
      <w:r>
        <w:rPr>
          <w:rFonts w:ascii="Times New Roman" w:hAnsi="Times New Roman" w:hint="eastAsia"/>
          <w:kern w:val="2"/>
          <w:szCs w:val="24"/>
        </w:rPr>
        <w:t>。</w:t>
      </w:r>
    </w:p>
    <w:p w:rsidR="00893652" w:rsidRDefault="00DE6A38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5</w:t>
      </w:r>
      <w:r>
        <w:rPr>
          <w:rFonts w:ascii="Times New Roman" w:hAnsi="Times New Roman" w:hint="eastAsia"/>
          <w:kern w:val="2"/>
          <w:szCs w:val="24"/>
        </w:rPr>
        <w:t>、服务期：一年。如维保单位能认真履行合同，经双方协商后可续约一年。</w:t>
      </w:r>
    </w:p>
    <w:p w:rsidR="00893652" w:rsidRDefault="00DE6A38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lastRenderedPageBreak/>
        <w:t>6</w:t>
      </w:r>
      <w:r>
        <w:rPr>
          <w:rFonts w:ascii="Times New Roman" w:hAnsi="Times New Roman" w:hint="eastAsia"/>
          <w:kern w:val="2"/>
          <w:szCs w:val="24"/>
        </w:rPr>
        <w:t>、</w:t>
      </w:r>
      <w:r>
        <w:rPr>
          <w:rFonts w:ascii="Times New Roman" w:hAnsi="Times New Roman" w:hint="eastAsia"/>
          <w:kern w:val="2"/>
          <w:szCs w:val="24"/>
        </w:rPr>
        <w:t>维保单位在维保期间所维保的范围内，所有被相关主管部门的处罚均由维保单位承担，</w:t>
      </w:r>
      <w:proofErr w:type="gramStart"/>
      <w:r>
        <w:rPr>
          <w:rFonts w:ascii="Times New Roman" w:hAnsi="Times New Roman" w:hint="eastAsia"/>
          <w:kern w:val="2"/>
          <w:szCs w:val="24"/>
        </w:rPr>
        <w:t>且维保单位承担</w:t>
      </w:r>
      <w:proofErr w:type="gramEnd"/>
      <w:r>
        <w:rPr>
          <w:rFonts w:ascii="Times New Roman" w:hAnsi="Times New Roman" w:hint="eastAsia"/>
          <w:kern w:val="2"/>
          <w:szCs w:val="24"/>
        </w:rPr>
        <w:t>因此产生的一切损失</w:t>
      </w:r>
      <w:r>
        <w:rPr>
          <w:rFonts w:ascii="Times New Roman" w:hAnsi="Times New Roman" w:hint="eastAsia"/>
          <w:kern w:val="2"/>
          <w:szCs w:val="24"/>
        </w:rPr>
        <w:t>。</w:t>
      </w:r>
    </w:p>
    <w:p w:rsidR="00893652" w:rsidRDefault="00DE6A38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7</w:t>
      </w:r>
      <w:r>
        <w:rPr>
          <w:rFonts w:ascii="Times New Roman" w:hAnsi="Times New Roman" w:hint="eastAsia"/>
          <w:kern w:val="2"/>
          <w:szCs w:val="24"/>
        </w:rPr>
        <w:t>、</w:t>
      </w:r>
      <w:r>
        <w:rPr>
          <w:rFonts w:ascii="Times New Roman" w:hAnsi="Times New Roman" w:hint="eastAsia"/>
          <w:kern w:val="2"/>
          <w:szCs w:val="24"/>
        </w:rPr>
        <w:t>参与报价的单位需将法人营业执照复印件、市场询价</w:t>
      </w:r>
      <w:r>
        <w:rPr>
          <w:rFonts w:ascii="Times New Roman" w:hAnsi="Times New Roman" w:hint="eastAsia"/>
          <w:kern w:val="2"/>
          <w:szCs w:val="24"/>
        </w:rPr>
        <w:t>表于</w:t>
      </w:r>
      <w:r>
        <w:rPr>
          <w:rFonts w:ascii="Times New Roman" w:hAnsi="Times New Roman" w:hint="eastAsia"/>
          <w:kern w:val="2"/>
          <w:szCs w:val="24"/>
        </w:rPr>
        <w:t>202</w:t>
      </w:r>
      <w:r>
        <w:rPr>
          <w:rFonts w:ascii="Times New Roman" w:hAnsi="Times New Roman" w:hint="eastAsia"/>
          <w:kern w:val="2"/>
          <w:szCs w:val="24"/>
        </w:rPr>
        <w:t>4</w:t>
      </w:r>
      <w:r>
        <w:rPr>
          <w:rFonts w:ascii="Times New Roman" w:hAnsi="Times New Roman" w:hint="eastAsia"/>
          <w:kern w:val="2"/>
          <w:szCs w:val="24"/>
        </w:rPr>
        <w:t>年</w:t>
      </w:r>
      <w:r w:rsidR="000B41D2">
        <w:rPr>
          <w:rFonts w:ascii="Times New Roman" w:hAnsi="Times New Roman" w:hint="eastAsia"/>
          <w:kern w:val="2"/>
          <w:szCs w:val="24"/>
        </w:rPr>
        <w:t>3</w:t>
      </w:r>
      <w:r>
        <w:rPr>
          <w:rFonts w:ascii="Times New Roman" w:hAnsi="Times New Roman" w:hint="eastAsia"/>
          <w:kern w:val="2"/>
          <w:szCs w:val="24"/>
        </w:rPr>
        <w:t>月</w:t>
      </w:r>
      <w:r w:rsidR="000B41D2">
        <w:rPr>
          <w:rFonts w:ascii="Times New Roman" w:hAnsi="Times New Roman" w:hint="eastAsia"/>
          <w:kern w:val="2"/>
          <w:szCs w:val="24"/>
        </w:rPr>
        <w:t>25</w:t>
      </w:r>
      <w:r>
        <w:rPr>
          <w:rFonts w:ascii="Times New Roman" w:hAnsi="Times New Roman" w:hint="eastAsia"/>
          <w:kern w:val="2"/>
          <w:szCs w:val="24"/>
        </w:rPr>
        <w:t xml:space="preserve"> </w:t>
      </w:r>
      <w:r>
        <w:rPr>
          <w:rFonts w:ascii="Times New Roman" w:hAnsi="Times New Roman" w:hint="eastAsia"/>
          <w:kern w:val="2"/>
          <w:szCs w:val="24"/>
        </w:rPr>
        <w:t>日</w:t>
      </w:r>
      <w:r>
        <w:rPr>
          <w:rFonts w:ascii="Times New Roman" w:hAnsi="Times New Roman" w:hint="eastAsia"/>
          <w:kern w:val="2"/>
          <w:szCs w:val="24"/>
        </w:rPr>
        <w:t>17:00</w:t>
      </w:r>
      <w:r>
        <w:rPr>
          <w:rFonts w:ascii="Times New Roman" w:hAnsi="Times New Roman" w:hint="eastAsia"/>
          <w:kern w:val="2"/>
          <w:szCs w:val="24"/>
        </w:rPr>
        <w:t>前，送或寄或发送电子邮件，联系地址：</w:t>
      </w:r>
      <w:r>
        <w:rPr>
          <w:rFonts w:ascii="Times New Roman" w:hAnsi="Times New Roman" w:hint="eastAsia"/>
          <w:kern w:val="2"/>
          <w:szCs w:val="24"/>
        </w:rPr>
        <w:t>启东市汇龙镇</w:t>
      </w:r>
      <w:proofErr w:type="gramStart"/>
      <w:r>
        <w:rPr>
          <w:rFonts w:ascii="Times New Roman" w:hAnsi="Times New Roman" w:hint="eastAsia"/>
          <w:kern w:val="2"/>
          <w:szCs w:val="24"/>
        </w:rPr>
        <w:t>国动产业</w:t>
      </w:r>
      <w:proofErr w:type="gramEnd"/>
      <w:r>
        <w:rPr>
          <w:rFonts w:ascii="Times New Roman" w:hAnsi="Times New Roman" w:hint="eastAsia"/>
          <w:kern w:val="2"/>
          <w:szCs w:val="24"/>
        </w:rPr>
        <w:t>园</w:t>
      </w:r>
      <w:r>
        <w:rPr>
          <w:rFonts w:ascii="Times New Roman" w:hAnsi="Times New Roman" w:hint="eastAsia"/>
          <w:kern w:val="2"/>
          <w:szCs w:val="24"/>
        </w:rPr>
        <w:t>18</w:t>
      </w:r>
      <w:r>
        <w:rPr>
          <w:rFonts w:ascii="Times New Roman" w:hAnsi="Times New Roman" w:hint="eastAsia"/>
          <w:kern w:val="2"/>
          <w:szCs w:val="24"/>
        </w:rPr>
        <w:t>号</w:t>
      </w:r>
      <w:r>
        <w:rPr>
          <w:rFonts w:ascii="Times New Roman" w:hAnsi="Times New Roman" w:hint="eastAsia"/>
          <w:kern w:val="2"/>
          <w:szCs w:val="24"/>
        </w:rPr>
        <w:t>楼</w:t>
      </w:r>
      <w:r>
        <w:rPr>
          <w:rFonts w:ascii="Times New Roman" w:hAnsi="Times New Roman" w:hint="eastAsia"/>
          <w:kern w:val="2"/>
          <w:szCs w:val="24"/>
        </w:rPr>
        <w:t>501</w:t>
      </w:r>
      <w:r>
        <w:rPr>
          <w:rFonts w:ascii="Times New Roman" w:hAnsi="Times New Roman" w:hint="eastAsia"/>
          <w:kern w:val="2"/>
          <w:szCs w:val="24"/>
        </w:rPr>
        <w:t>（以邮戳为准），联系人：</w:t>
      </w:r>
      <w:r>
        <w:rPr>
          <w:rFonts w:ascii="Times New Roman" w:hAnsi="Times New Roman" w:hint="eastAsia"/>
          <w:kern w:val="2"/>
          <w:szCs w:val="24"/>
        </w:rPr>
        <w:t>陈燕</w:t>
      </w:r>
      <w:r>
        <w:rPr>
          <w:rFonts w:ascii="Times New Roman" w:hAnsi="Times New Roman" w:hint="eastAsia"/>
          <w:kern w:val="2"/>
          <w:szCs w:val="24"/>
        </w:rPr>
        <w:t>，联系电话：</w:t>
      </w:r>
      <w:r>
        <w:rPr>
          <w:rFonts w:ascii="Times New Roman" w:hAnsi="Times New Roman" w:hint="eastAsia"/>
          <w:kern w:val="2"/>
          <w:szCs w:val="24"/>
        </w:rPr>
        <w:t>18932203970</w:t>
      </w:r>
      <w:r>
        <w:rPr>
          <w:rFonts w:ascii="Times New Roman" w:hAnsi="Times New Roman" w:hint="eastAsia"/>
          <w:kern w:val="2"/>
          <w:szCs w:val="24"/>
        </w:rPr>
        <w:t>，邮箱：</w:t>
      </w:r>
      <w:r>
        <w:rPr>
          <w:rFonts w:ascii="Times New Roman" w:hAnsi="Times New Roman" w:hint="eastAsia"/>
          <w:kern w:val="2"/>
          <w:szCs w:val="24"/>
        </w:rPr>
        <w:t>514361830@qq.com</w:t>
      </w:r>
      <w:r>
        <w:rPr>
          <w:rFonts w:ascii="Times New Roman" w:hAnsi="Times New Roman" w:hint="eastAsia"/>
          <w:kern w:val="2"/>
          <w:szCs w:val="24"/>
        </w:rPr>
        <w:t>。</w:t>
      </w:r>
    </w:p>
    <w:p w:rsidR="00893652" w:rsidRDefault="00DE6A38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8</w:t>
      </w:r>
      <w:r>
        <w:rPr>
          <w:rFonts w:ascii="Times New Roman" w:hAnsi="Times New Roman" w:hint="eastAsia"/>
          <w:kern w:val="2"/>
          <w:szCs w:val="24"/>
        </w:rPr>
        <w:t>、拟定支付方式及期限：</w:t>
      </w:r>
      <w:r>
        <w:rPr>
          <w:rFonts w:ascii="Times New Roman" w:hAnsi="Times New Roman" w:hint="eastAsia"/>
          <w:kern w:val="2"/>
          <w:szCs w:val="24"/>
        </w:rPr>
        <w:t>服务期结束</w:t>
      </w:r>
      <w:r>
        <w:rPr>
          <w:rFonts w:ascii="Times New Roman" w:hAnsi="Times New Roman" w:hint="eastAsia"/>
          <w:kern w:val="2"/>
          <w:szCs w:val="24"/>
        </w:rPr>
        <w:t>且能认真履行消防维保合同的一次性付清</w:t>
      </w:r>
      <w:r>
        <w:rPr>
          <w:rFonts w:ascii="Times New Roman" w:hAnsi="Times New Roman" w:hint="eastAsia"/>
          <w:kern w:val="2"/>
          <w:szCs w:val="24"/>
        </w:rPr>
        <w:t>。</w:t>
      </w:r>
    </w:p>
    <w:p w:rsidR="00893652" w:rsidRDefault="00DE6A38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9</w:t>
      </w:r>
      <w:r>
        <w:rPr>
          <w:rFonts w:ascii="Times New Roman" w:hAnsi="Times New Roman" w:hint="eastAsia"/>
          <w:kern w:val="2"/>
          <w:szCs w:val="24"/>
        </w:rPr>
        <w:t>、其他：⑴请</w:t>
      </w:r>
      <w:r>
        <w:rPr>
          <w:rFonts w:ascii="Times New Roman" w:hAnsi="Times New Roman" w:hint="eastAsia"/>
          <w:kern w:val="2"/>
          <w:szCs w:val="24"/>
        </w:rPr>
        <w:t>报价单位认真核算、如实报价，如发现虚假报价的，报上级主管部门；⑵本次报价仅作为市场调研用，因此价格仅供参考；⑶本次调研询价不接收质疑函，只接收对本项目的建议。</w:t>
      </w:r>
    </w:p>
    <w:p w:rsidR="00893652" w:rsidRDefault="00893652">
      <w:pPr>
        <w:ind w:firstLineChars="2300" w:firstLine="5520"/>
        <w:rPr>
          <w:rFonts w:ascii="Times New Roman" w:hAnsi="Times New Roman" w:cs="Times New Roman"/>
          <w:sz w:val="24"/>
          <w:szCs w:val="24"/>
        </w:rPr>
      </w:pPr>
    </w:p>
    <w:p w:rsidR="00893652" w:rsidRDefault="00893652">
      <w:pPr>
        <w:ind w:firstLineChars="2300" w:firstLine="5520"/>
        <w:rPr>
          <w:rFonts w:ascii="Times New Roman" w:hAnsi="Times New Roman" w:cs="Times New Roman"/>
          <w:sz w:val="24"/>
          <w:szCs w:val="24"/>
        </w:rPr>
      </w:pPr>
    </w:p>
    <w:p w:rsidR="00893652" w:rsidRDefault="00DE6A38">
      <w:pPr>
        <w:ind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启东市汇龙中学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93652" w:rsidRDefault="00DE6A38">
      <w:pPr>
        <w:ind w:firstLine="480"/>
        <w:jc w:val="right"/>
        <w:rPr>
          <w:rFonts w:ascii="Times New Roman" w:hAnsi="Times New Roman" w:cs="Times New Roman"/>
          <w:sz w:val="24"/>
          <w:szCs w:val="24"/>
        </w:rPr>
        <w:sectPr w:rsidR="008936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202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0B41D2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0B41D2">
        <w:rPr>
          <w:rFonts w:ascii="Times New Roman" w:hAnsi="Times New Roman" w:cs="Times New Roman" w:hint="eastAsia"/>
          <w:sz w:val="24"/>
          <w:szCs w:val="24"/>
        </w:rPr>
        <w:t>2</w:t>
      </w:r>
      <w:r w:rsidR="00443725">
        <w:rPr>
          <w:rFonts w:ascii="Times New Roman" w:hAnsi="Times New Roman" w:cs="Times New Roman" w:hint="eastAsia"/>
          <w:sz w:val="24"/>
          <w:szCs w:val="24"/>
        </w:rPr>
        <w:t>1</w:t>
      </w:r>
      <w:bookmarkStart w:id="2" w:name="_GoBack"/>
      <w:bookmarkEnd w:id="2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</w:p>
    <w:p w:rsidR="00893652" w:rsidRDefault="00DE6A38">
      <w:pPr>
        <w:spacing w:line="360" w:lineRule="exact"/>
        <w:ind w:firstLineChars="200" w:firstLine="64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lastRenderedPageBreak/>
        <w:t>启东市汇</w:t>
      </w:r>
      <w:proofErr w:type="gramStart"/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龙中学消防</w:t>
      </w:r>
      <w:proofErr w:type="gramEnd"/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维保服务项目</w:t>
      </w:r>
    </w:p>
    <w:p w:rsidR="00893652" w:rsidRDefault="00DE6A38">
      <w:pPr>
        <w:spacing w:line="360" w:lineRule="exact"/>
        <w:ind w:firstLineChars="200" w:firstLine="64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报价</w:t>
      </w:r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表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992"/>
        <w:gridCol w:w="992"/>
        <w:gridCol w:w="993"/>
        <w:gridCol w:w="1559"/>
      </w:tblGrid>
      <w:tr w:rsidR="00893652">
        <w:trPr>
          <w:trHeight w:val="352"/>
        </w:trPr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名称参数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数量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单价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总价</w:t>
            </w: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火灾应急照明灯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疏散指示标志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防火门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灭火器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 w:cs="仿宋_GB2312"/>
                <w:color w:val="000000"/>
                <w:sz w:val="24"/>
              </w:rPr>
              <w:t>.5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公斤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tabs>
                <w:tab w:val="left" w:pos="1556"/>
              </w:tabs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消火栓箱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bookmarkStart w:id="3" w:name="OLE_LINK1" w:colFirst="1" w:colLast="1"/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消防供配电控制柜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消防供水系统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ab/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室外消防栓及接合器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bookmarkEnd w:id="3"/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消防机器设备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消防报警烟感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消防报警手报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消防报警声光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消防广播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消火栓按钮启泵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消防报警模块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消防电话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消防层显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可燃气体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消防防火卷帘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消防喷淋末端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消防喷淋头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c>
          <w:tcPr>
            <w:tcW w:w="851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893652" w:rsidRDefault="00DE6A3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阀门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652" w:rsidRDefault="00DE6A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652">
        <w:trPr>
          <w:trHeight w:val="452"/>
        </w:trPr>
        <w:tc>
          <w:tcPr>
            <w:tcW w:w="851" w:type="dxa"/>
            <w:shd w:val="clear" w:color="auto" w:fill="auto"/>
            <w:vAlign w:val="center"/>
          </w:tcPr>
          <w:p w:rsidR="00893652" w:rsidRDefault="00893652">
            <w:pPr>
              <w:jc w:val="center"/>
              <w:rPr>
                <w:rFonts w:ascii="隶书" w:eastAsia="隶书" w:hAnsi="仿宋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893652" w:rsidRDefault="00DE6A38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合计：</w:t>
            </w:r>
            <w:r>
              <w:rPr>
                <w:rFonts w:ascii="仿宋" w:eastAsia="仿宋" w:hAnsi="仿宋"/>
                <w:b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93652" w:rsidRDefault="00DE6A38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小写：</w:t>
            </w:r>
          </w:p>
        </w:tc>
      </w:tr>
    </w:tbl>
    <w:p w:rsidR="00893652" w:rsidRDefault="00DE6A38">
      <w:pPr>
        <w:spacing w:line="400" w:lineRule="exact"/>
        <w:ind w:right="56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b/>
          <w:sz w:val="24"/>
        </w:rPr>
        <w:t>说明</w:t>
      </w:r>
      <w:r>
        <w:rPr>
          <w:rFonts w:ascii="仿宋" w:eastAsia="仿宋" w:hAnsi="仿宋" w:hint="eastAsia"/>
          <w:b/>
          <w:sz w:val="24"/>
        </w:rPr>
        <w:t>:</w:t>
      </w:r>
      <w:r>
        <w:rPr>
          <w:rFonts w:ascii="仿宋" w:eastAsia="仿宋" w:hAnsi="仿宋" w:hint="eastAsia"/>
          <w:sz w:val="24"/>
        </w:rPr>
        <w:t>一、灭火器充装、更换及消防栓更换的材料费由学校负责（收集和存放由维保单位负责），校内消防供水管道损坏漏水，由学校负责，所需的这两项经费，</w:t>
      </w:r>
      <w:r>
        <w:rPr>
          <w:rFonts w:ascii="仿宋" w:eastAsia="仿宋" w:hAnsi="仿宋" w:hint="eastAsia"/>
          <w:sz w:val="24"/>
          <w:u w:val="single"/>
        </w:rPr>
        <w:t>由学校另行支付，不包含在本报价内。</w:t>
      </w:r>
    </w:p>
    <w:p w:rsidR="00893652" w:rsidRDefault="00DE6A38">
      <w:pPr>
        <w:spacing w:line="400" w:lineRule="exact"/>
        <w:ind w:right="561"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二、其他设施设备（包括电动机等）的维护、保养、含于本报价，维修材料及施工，消防年检费用由校方负责。维保方要确保设施设备正常运作，且能够通过消防检查。</w:t>
      </w:r>
    </w:p>
    <w:p w:rsidR="00893652" w:rsidRDefault="00DE6A38">
      <w:pPr>
        <w:spacing w:line="400" w:lineRule="exact"/>
        <w:ind w:right="561"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t>三</w:t>
      </w:r>
      <w:r>
        <w:rPr>
          <w:rFonts w:ascii="仿宋" w:eastAsia="仿宋" w:hAnsi="仿宋" w:hint="eastAsia"/>
          <w:sz w:val="24"/>
        </w:rPr>
        <w:t>、由维保单位提供消火栓、灭火器检查登记表。并由维保人员在每个消火栓箱内登记表上，每月检查时签名一次。在每个灭火器</w:t>
      </w:r>
      <w:proofErr w:type="gramStart"/>
      <w:r>
        <w:rPr>
          <w:rFonts w:ascii="仿宋" w:eastAsia="仿宋" w:hAnsi="仿宋" w:hint="eastAsia"/>
          <w:sz w:val="24"/>
        </w:rPr>
        <w:t>瓶检查</w:t>
      </w:r>
      <w:proofErr w:type="gramEnd"/>
      <w:r>
        <w:rPr>
          <w:rFonts w:ascii="仿宋" w:eastAsia="仿宋" w:hAnsi="仿宋" w:hint="eastAsia"/>
          <w:sz w:val="24"/>
        </w:rPr>
        <w:t>情况登记表上，每月签名一次。查出有问题的灭火器应及时</w:t>
      </w:r>
      <w:proofErr w:type="gramStart"/>
      <w:r>
        <w:rPr>
          <w:rFonts w:ascii="仿宋" w:eastAsia="仿宋" w:hAnsi="仿宋" w:hint="eastAsia"/>
          <w:sz w:val="24"/>
        </w:rPr>
        <w:t>交学校</w:t>
      </w:r>
      <w:proofErr w:type="gramEnd"/>
      <w:r>
        <w:rPr>
          <w:rFonts w:ascii="仿宋" w:eastAsia="仿宋" w:hAnsi="仿宋" w:hint="eastAsia"/>
          <w:sz w:val="24"/>
        </w:rPr>
        <w:t>处理。</w:t>
      </w:r>
    </w:p>
    <w:p w:rsidR="00893652" w:rsidRDefault="00DE6A38">
      <w:pPr>
        <w:spacing w:line="400" w:lineRule="exact"/>
        <w:ind w:right="561"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四、由维保单位完成“江苏省单位消防安全管理系统社会单位”操作系统中有关二维码（包括标志为维保人员扫的</w:t>
      </w:r>
      <w:proofErr w:type="gramStart"/>
      <w:r>
        <w:rPr>
          <w:rFonts w:ascii="仿宋" w:eastAsia="仿宋" w:hAnsi="仿宋" w:hint="eastAsia"/>
          <w:sz w:val="24"/>
        </w:rPr>
        <w:t>和非维保人</w:t>
      </w:r>
      <w:proofErr w:type="gramEnd"/>
      <w:r>
        <w:rPr>
          <w:rFonts w:ascii="仿宋" w:eastAsia="仿宋" w:hAnsi="仿宋" w:hint="eastAsia"/>
          <w:sz w:val="24"/>
        </w:rPr>
        <w:t>员扫的）</w:t>
      </w:r>
      <w:proofErr w:type="gramStart"/>
      <w:r>
        <w:rPr>
          <w:rFonts w:ascii="仿宋" w:eastAsia="仿宋" w:hAnsi="仿宋" w:hint="eastAsia"/>
          <w:sz w:val="24"/>
        </w:rPr>
        <w:t>的扫码工作</w:t>
      </w:r>
      <w:proofErr w:type="gramEnd"/>
      <w:r>
        <w:rPr>
          <w:rFonts w:ascii="仿宋" w:eastAsia="仿宋" w:hAnsi="仿宋" w:hint="eastAsia"/>
          <w:sz w:val="24"/>
        </w:rPr>
        <w:t>。</w:t>
      </w:r>
    </w:p>
    <w:p w:rsidR="00893652" w:rsidRDefault="00893652">
      <w:pPr>
        <w:pStyle w:val="a5"/>
        <w:spacing w:after="0" w:line="360" w:lineRule="auto"/>
        <w:rPr>
          <w:rFonts w:asciiTheme="minorEastAsia" w:eastAsiaTheme="minorEastAsia" w:hAnsiTheme="minorEastAsia" w:cstheme="minorEastAsia"/>
          <w:kern w:val="2"/>
          <w:sz w:val="32"/>
          <w:szCs w:val="32"/>
          <w:shd w:val="clear" w:color="auto" w:fill="FFFFFF"/>
        </w:rPr>
      </w:pPr>
    </w:p>
    <w:p w:rsidR="00893652" w:rsidRDefault="00DE6A38">
      <w:pPr>
        <w:pStyle w:val="a5"/>
        <w:spacing w:after="0" w:line="360" w:lineRule="auto"/>
        <w:rPr>
          <w:rFonts w:asciiTheme="minorEastAsia" w:eastAsiaTheme="minorEastAsia" w:hAnsiTheme="minorEastAsia" w:cstheme="minorEastAsia"/>
          <w:kern w:val="2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2"/>
          <w:sz w:val="32"/>
          <w:szCs w:val="32"/>
          <w:shd w:val="clear" w:color="auto" w:fill="FFFFFF"/>
        </w:rPr>
        <w:t>附营业</w:t>
      </w:r>
      <w:r>
        <w:rPr>
          <w:rFonts w:asciiTheme="minorEastAsia" w:eastAsiaTheme="minorEastAsia" w:hAnsiTheme="minorEastAsia" w:cstheme="minorEastAsia" w:hint="eastAsia"/>
          <w:kern w:val="2"/>
          <w:sz w:val="32"/>
          <w:szCs w:val="32"/>
          <w:shd w:val="clear" w:color="auto" w:fill="FFFFFF"/>
        </w:rPr>
        <w:t>执照</w:t>
      </w:r>
    </w:p>
    <w:p w:rsidR="00893652" w:rsidRDefault="00893652">
      <w:pPr>
        <w:pStyle w:val="a5"/>
        <w:spacing w:after="0" w:line="360" w:lineRule="auto"/>
        <w:rPr>
          <w:rFonts w:asciiTheme="minorEastAsia" w:eastAsiaTheme="minorEastAsia" w:hAnsiTheme="minorEastAsia" w:cstheme="minorEastAsia"/>
          <w:kern w:val="2"/>
          <w:sz w:val="32"/>
          <w:szCs w:val="32"/>
          <w:shd w:val="clear" w:color="auto" w:fill="FFFFFF"/>
        </w:rPr>
      </w:pPr>
    </w:p>
    <w:p w:rsidR="00893652" w:rsidRDefault="00DE6A38">
      <w:pPr>
        <w:pStyle w:val="a5"/>
        <w:spacing w:after="0" w:line="360" w:lineRule="auto"/>
        <w:rPr>
          <w:rFonts w:asciiTheme="minorEastAsia" w:eastAsiaTheme="minorEastAsia" w:hAnsiTheme="minorEastAsia" w:cstheme="minorEastAsia"/>
          <w:kern w:val="2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2"/>
          <w:sz w:val="32"/>
          <w:szCs w:val="32"/>
          <w:shd w:val="clear" w:color="auto" w:fill="FFFFFF"/>
        </w:rPr>
        <w:t>报价单位（盖章）：</w:t>
      </w:r>
    </w:p>
    <w:p w:rsidR="00893652" w:rsidRDefault="00DE6A38">
      <w:pPr>
        <w:spacing w:line="360" w:lineRule="auto"/>
        <w:rPr>
          <w:rFonts w:asciiTheme="minorEastAsia" w:hAnsiTheme="minorEastAsia" w:cstheme="minorEastAsia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z w:val="32"/>
          <w:szCs w:val="32"/>
          <w:shd w:val="clear" w:color="auto" w:fill="FFFFFF"/>
        </w:rPr>
        <w:t>联系人：</w:t>
      </w:r>
    </w:p>
    <w:p w:rsidR="00893652" w:rsidRDefault="00DE6A38">
      <w:pPr>
        <w:pStyle w:val="a5"/>
        <w:spacing w:after="0" w:line="360" w:lineRule="auto"/>
        <w:rPr>
          <w:rFonts w:asciiTheme="minorEastAsia" w:eastAsiaTheme="minorEastAsia" w:hAnsiTheme="minorEastAsia" w:cstheme="minorEastAsia"/>
          <w:sz w:val="32"/>
          <w:szCs w:val="28"/>
        </w:rPr>
      </w:pPr>
      <w:r>
        <w:rPr>
          <w:rFonts w:asciiTheme="minorEastAsia" w:eastAsiaTheme="minorEastAsia" w:hAnsiTheme="minorEastAsia" w:cstheme="minorEastAsia" w:hint="eastAsia"/>
          <w:kern w:val="2"/>
          <w:sz w:val="32"/>
          <w:szCs w:val="32"/>
          <w:shd w:val="clear" w:color="auto" w:fill="FFFFFF"/>
        </w:rPr>
        <w:t>联系电话：</w:t>
      </w:r>
    </w:p>
    <w:p w:rsidR="00893652" w:rsidRDefault="00DE6A3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z w:val="32"/>
          <w:szCs w:val="32"/>
          <w:shd w:val="clear" w:color="auto" w:fill="FFFFFF"/>
        </w:rPr>
        <w:t>报价日期：</w:t>
      </w:r>
    </w:p>
    <w:p w:rsidR="00893652" w:rsidRDefault="00893652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89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38" w:rsidRDefault="00DE6A38" w:rsidP="005B7C17">
      <w:r>
        <w:separator/>
      </w:r>
    </w:p>
  </w:endnote>
  <w:endnote w:type="continuationSeparator" w:id="0">
    <w:p w:rsidR="00DE6A38" w:rsidRDefault="00DE6A38" w:rsidP="005B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38" w:rsidRDefault="00DE6A38" w:rsidP="005B7C17">
      <w:r>
        <w:separator/>
      </w:r>
    </w:p>
  </w:footnote>
  <w:footnote w:type="continuationSeparator" w:id="0">
    <w:p w:rsidR="00DE6A38" w:rsidRDefault="00DE6A38" w:rsidP="005B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2E312"/>
    <w:multiLevelType w:val="singleLevel"/>
    <w:tmpl w:val="4C62E3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Dk5NDZiYmM1Njc0MzFiYWYwNmQ2OTU2Y2U5ZGMifQ=="/>
  </w:docVars>
  <w:rsids>
    <w:rsidRoot w:val="00CE500D"/>
    <w:rsid w:val="00017D04"/>
    <w:rsid w:val="000B41D2"/>
    <w:rsid w:val="0023679F"/>
    <w:rsid w:val="002E440A"/>
    <w:rsid w:val="0034394B"/>
    <w:rsid w:val="00401700"/>
    <w:rsid w:val="00443725"/>
    <w:rsid w:val="005615DA"/>
    <w:rsid w:val="005B7C17"/>
    <w:rsid w:val="00620764"/>
    <w:rsid w:val="00755B04"/>
    <w:rsid w:val="007802A2"/>
    <w:rsid w:val="007D419D"/>
    <w:rsid w:val="00832DE5"/>
    <w:rsid w:val="00893652"/>
    <w:rsid w:val="008E5996"/>
    <w:rsid w:val="00B86DAD"/>
    <w:rsid w:val="00BD4640"/>
    <w:rsid w:val="00C14B91"/>
    <w:rsid w:val="00C541DA"/>
    <w:rsid w:val="00CE500D"/>
    <w:rsid w:val="00D50A04"/>
    <w:rsid w:val="00DE6A38"/>
    <w:rsid w:val="00DF5EDA"/>
    <w:rsid w:val="00E36B5B"/>
    <w:rsid w:val="00EF5C0A"/>
    <w:rsid w:val="00FF70EB"/>
    <w:rsid w:val="01AB7A79"/>
    <w:rsid w:val="02210711"/>
    <w:rsid w:val="02325B7D"/>
    <w:rsid w:val="025909DE"/>
    <w:rsid w:val="02664544"/>
    <w:rsid w:val="03566A31"/>
    <w:rsid w:val="035D3D0B"/>
    <w:rsid w:val="0448715B"/>
    <w:rsid w:val="044B2763"/>
    <w:rsid w:val="04940A09"/>
    <w:rsid w:val="05F41565"/>
    <w:rsid w:val="06217F12"/>
    <w:rsid w:val="08202AE5"/>
    <w:rsid w:val="08A21AF3"/>
    <w:rsid w:val="09AD03A9"/>
    <w:rsid w:val="0AA96DC2"/>
    <w:rsid w:val="0AB31B64"/>
    <w:rsid w:val="0B352404"/>
    <w:rsid w:val="0B507B40"/>
    <w:rsid w:val="0B951A25"/>
    <w:rsid w:val="0B9B67A5"/>
    <w:rsid w:val="0BA36998"/>
    <w:rsid w:val="0BD90538"/>
    <w:rsid w:val="0BF202F5"/>
    <w:rsid w:val="0C71390F"/>
    <w:rsid w:val="0C8C0749"/>
    <w:rsid w:val="0D7506A7"/>
    <w:rsid w:val="0DB528E8"/>
    <w:rsid w:val="0EDD34DE"/>
    <w:rsid w:val="0FE443F8"/>
    <w:rsid w:val="10293E54"/>
    <w:rsid w:val="108217FC"/>
    <w:rsid w:val="10EB50A3"/>
    <w:rsid w:val="11423ACC"/>
    <w:rsid w:val="12076322"/>
    <w:rsid w:val="130A47A3"/>
    <w:rsid w:val="130E0083"/>
    <w:rsid w:val="139169C3"/>
    <w:rsid w:val="13A463FB"/>
    <w:rsid w:val="14214E0F"/>
    <w:rsid w:val="14B44CE1"/>
    <w:rsid w:val="14BF0032"/>
    <w:rsid w:val="15035321"/>
    <w:rsid w:val="156D307B"/>
    <w:rsid w:val="15E46F00"/>
    <w:rsid w:val="160142ED"/>
    <w:rsid w:val="16173F2C"/>
    <w:rsid w:val="16583648"/>
    <w:rsid w:val="16F07406"/>
    <w:rsid w:val="1776627E"/>
    <w:rsid w:val="190B6E9A"/>
    <w:rsid w:val="193C7053"/>
    <w:rsid w:val="1960635B"/>
    <w:rsid w:val="1A74631B"/>
    <w:rsid w:val="1AF35C55"/>
    <w:rsid w:val="1B4474E1"/>
    <w:rsid w:val="1B7F55B5"/>
    <w:rsid w:val="1C5C683D"/>
    <w:rsid w:val="1C651DCF"/>
    <w:rsid w:val="1C6737E8"/>
    <w:rsid w:val="1C683FA7"/>
    <w:rsid w:val="1C9E19D9"/>
    <w:rsid w:val="1CA92C52"/>
    <w:rsid w:val="1DA653E3"/>
    <w:rsid w:val="1DB23D88"/>
    <w:rsid w:val="1DBE097F"/>
    <w:rsid w:val="1DCE71A7"/>
    <w:rsid w:val="1EC441A4"/>
    <w:rsid w:val="1ECC360E"/>
    <w:rsid w:val="1F3D6340"/>
    <w:rsid w:val="1F7F5290"/>
    <w:rsid w:val="200A3A07"/>
    <w:rsid w:val="20834438"/>
    <w:rsid w:val="208714A2"/>
    <w:rsid w:val="222334A6"/>
    <w:rsid w:val="222E597D"/>
    <w:rsid w:val="224156DA"/>
    <w:rsid w:val="226513C9"/>
    <w:rsid w:val="23224442"/>
    <w:rsid w:val="235A2EF8"/>
    <w:rsid w:val="235F5FD0"/>
    <w:rsid w:val="24ED5CB9"/>
    <w:rsid w:val="256E4A38"/>
    <w:rsid w:val="25DC5E46"/>
    <w:rsid w:val="27AE4F55"/>
    <w:rsid w:val="27D32EF7"/>
    <w:rsid w:val="28C12065"/>
    <w:rsid w:val="29001E4B"/>
    <w:rsid w:val="291B42C9"/>
    <w:rsid w:val="293D22C4"/>
    <w:rsid w:val="295C39EB"/>
    <w:rsid w:val="2A6333C0"/>
    <w:rsid w:val="2B4A32E9"/>
    <w:rsid w:val="2B795EE5"/>
    <w:rsid w:val="2C0734F1"/>
    <w:rsid w:val="2C357E1F"/>
    <w:rsid w:val="2CD5539D"/>
    <w:rsid w:val="2D4A7B39"/>
    <w:rsid w:val="2DF27104"/>
    <w:rsid w:val="307C26FF"/>
    <w:rsid w:val="30F77FD8"/>
    <w:rsid w:val="311345EC"/>
    <w:rsid w:val="314B50C8"/>
    <w:rsid w:val="31AA0A84"/>
    <w:rsid w:val="31F767B3"/>
    <w:rsid w:val="326351F9"/>
    <w:rsid w:val="32EA3795"/>
    <w:rsid w:val="33D6447B"/>
    <w:rsid w:val="33DB351D"/>
    <w:rsid w:val="348B49DE"/>
    <w:rsid w:val="34AB35F2"/>
    <w:rsid w:val="34BF3FDB"/>
    <w:rsid w:val="35755789"/>
    <w:rsid w:val="360311CD"/>
    <w:rsid w:val="36930523"/>
    <w:rsid w:val="36F328CD"/>
    <w:rsid w:val="37971BCD"/>
    <w:rsid w:val="37C55F0F"/>
    <w:rsid w:val="37E1553E"/>
    <w:rsid w:val="38A26A7B"/>
    <w:rsid w:val="391B15A6"/>
    <w:rsid w:val="398E7860"/>
    <w:rsid w:val="39AB6D88"/>
    <w:rsid w:val="39C05C8E"/>
    <w:rsid w:val="3A614714"/>
    <w:rsid w:val="3A6A03E3"/>
    <w:rsid w:val="3A993EAE"/>
    <w:rsid w:val="3AAD7959"/>
    <w:rsid w:val="3B0E7411"/>
    <w:rsid w:val="3B451940"/>
    <w:rsid w:val="3BD123D9"/>
    <w:rsid w:val="3CBE5E4E"/>
    <w:rsid w:val="3D212820"/>
    <w:rsid w:val="3FE71217"/>
    <w:rsid w:val="40356CCC"/>
    <w:rsid w:val="40D02AF3"/>
    <w:rsid w:val="416C54F9"/>
    <w:rsid w:val="41986C6D"/>
    <w:rsid w:val="41C646A4"/>
    <w:rsid w:val="43076734"/>
    <w:rsid w:val="437C581A"/>
    <w:rsid w:val="43993170"/>
    <w:rsid w:val="43AF64F0"/>
    <w:rsid w:val="43EF0FE2"/>
    <w:rsid w:val="43EF3DF9"/>
    <w:rsid w:val="43FE1BDE"/>
    <w:rsid w:val="44485834"/>
    <w:rsid w:val="45390767"/>
    <w:rsid w:val="46010751"/>
    <w:rsid w:val="461D4220"/>
    <w:rsid w:val="46294959"/>
    <w:rsid w:val="4632038F"/>
    <w:rsid w:val="4657693C"/>
    <w:rsid w:val="467D0B27"/>
    <w:rsid w:val="46E2098A"/>
    <w:rsid w:val="47066A1D"/>
    <w:rsid w:val="47F35EA9"/>
    <w:rsid w:val="483658F6"/>
    <w:rsid w:val="487D6BBD"/>
    <w:rsid w:val="488F4BB0"/>
    <w:rsid w:val="49121BEA"/>
    <w:rsid w:val="493C6A78"/>
    <w:rsid w:val="495140F2"/>
    <w:rsid w:val="496164DE"/>
    <w:rsid w:val="49C42F01"/>
    <w:rsid w:val="49CA5E32"/>
    <w:rsid w:val="4B610403"/>
    <w:rsid w:val="4C1563E9"/>
    <w:rsid w:val="4C6F0237"/>
    <w:rsid w:val="4C721578"/>
    <w:rsid w:val="4CB92004"/>
    <w:rsid w:val="4D0A29E9"/>
    <w:rsid w:val="4D861753"/>
    <w:rsid w:val="4D9F1383"/>
    <w:rsid w:val="4D9F759E"/>
    <w:rsid w:val="4E2C6806"/>
    <w:rsid w:val="4ECA68D4"/>
    <w:rsid w:val="4F6C1739"/>
    <w:rsid w:val="50010D46"/>
    <w:rsid w:val="521B30FA"/>
    <w:rsid w:val="5248342C"/>
    <w:rsid w:val="52632A25"/>
    <w:rsid w:val="52F757BE"/>
    <w:rsid w:val="53486019"/>
    <w:rsid w:val="536966BB"/>
    <w:rsid w:val="543A3BB4"/>
    <w:rsid w:val="546F6A60"/>
    <w:rsid w:val="54AF45A2"/>
    <w:rsid w:val="54F96310"/>
    <w:rsid w:val="552D0797"/>
    <w:rsid w:val="554E7420"/>
    <w:rsid w:val="55FA0C3A"/>
    <w:rsid w:val="5640122A"/>
    <w:rsid w:val="56A143BE"/>
    <w:rsid w:val="56DB78D0"/>
    <w:rsid w:val="57FF7D17"/>
    <w:rsid w:val="5806097D"/>
    <w:rsid w:val="58A843CB"/>
    <w:rsid w:val="59170968"/>
    <w:rsid w:val="595B5175"/>
    <w:rsid w:val="59B120AB"/>
    <w:rsid w:val="5A2D2A86"/>
    <w:rsid w:val="5B124A58"/>
    <w:rsid w:val="5C1166AC"/>
    <w:rsid w:val="5C9546B7"/>
    <w:rsid w:val="5CFA4BA6"/>
    <w:rsid w:val="5D0B4022"/>
    <w:rsid w:val="5D496DBF"/>
    <w:rsid w:val="5D8D11F8"/>
    <w:rsid w:val="5D8F082D"/>
    <w:rsid w:val="5DA046A0"/>
    <w:rsid w:val="5DD60DF1"/>
    <w:rsid w:val="5DFA3980"/>
    <w:rsid w:val="5E134CBE"/>
    <w:rsid w:val="5E706571"/>
    <w:rsid w:val="5E8E347A"/>
    <w:rsid w:val="5EEE3AEE"/>
    <w:rsid w:val="5F0C439F"/>
    <w:rsid w:val="61061C6B"/>
    <w:rsid w:val="611E30B6"/>
    <w:rsid w:val="614F7FD9"/>
    <w:rsid w:val="61706974"/>
    <w:rsid w:val="61D52C5F"/>
    <w:rsid w:val="625E7607"/>
    <w:rsid w:val="626F01FB"/>
    <w:rsid w:val="628F073C"/>
    <w:rsid w:val="63343EC4"/>
    <w:rsid w:val="64654C7D"/>
    <w:rsid w:val="656E190F"/>
    <w:rsid w:val="65AD4482"/>
    <w:rsid w:val="65F96FC3"/>
    <w:rsid w:val="672A0689"/>
    <w:rsid w:val="67334BBF"/>
    <w:rsid w:val="674D7D2D"/>
    <w:rsid w:val="678E44EB"/>
    <w:rsid w:val="687D052C"/>
    <w:rsid w:val="688D02FE"/>
    <w:rsid w:val="68906740"/>
    <w:rsid w:val="69353554"/>
    <w:rsid w:val="697B45FB"/>
    <w:rsid w:val="6A652FEE"/>
    <w:rsid w:val="6BDF75DB"/>
    <w:rsid w:val="6BF04907"/>
    <w:rsid w:val="6C7D4B2E"/>
    <w:rsid w:val="6CEC29E0"/>
    <w:rsid w:val="6EB61B4C"/>
    <w:rsid w:val="6F5B6D78"/>
    <w:rsid w:val="6FBD5AE6"/>
    <w:rsid w:val="6FD66A2F"/>
    <w:rsid w:val="7064403B"/>
    <w:rsid w:val="706978A3"/>
    <w:rsid w:val="7078466A"/>
    <w:rsid w:val="707E4338"/>
    <w:rsid w:val="708E10B8"/>
    <w:rsid w:val="70F73101"/>
    <w:rsid w:val="70F8420D"/>
    <w:rsid w:val="714C57CC"/>
    <w:rsid w:val="71F326B3"/>
    <w:rsid w:val="727E5E54"/>
    <w:rsid w:val="728D4E6A"/>
    <w:rsid w:val="72AC1CC9"/>
    <w:rsid w:val="73041B05"/>
    <w:rsid w:val="731F4041"/>
    <w:rsid w:val="7365626F"/>
    <w:rsid w:val="73727BB8"/>
    <w:rsid w:val="73A52518"/>
    <w:rsid w:val="74512B28"/>
    <w:rsid w:val="750A2372"/>
    <w:rsid w:val="756F3EAF"/>
    <w:rsid w:val="757D221F"/>
    <w:rsid w:val="768C502E"/>
    <w:rsid w:val="76E47C83"/>
    <w:rsid w:val="78B76110"/>
    <w:rsid w:val="78E5724B"/>
    <w:rsid w:val="79A100AE"/>
    <w:rsid w:val="79AA0058"/>
    <w:rsid w:val="79C20308"/>
    <w:rsid w:val="7A4F1871"/>
    <w:rsid w:val="7B430CF1"/>
    <w:rsid w:val="7B5F45A6"/>
    <w:rsid w:val="7BDD38E4"/>
    <w:rsid w:val="7D802572"/>
    <w:rsid w:val="7DDA320F"/>
    <w:rsid w:val="7DDB3462"/>
    <w:rsid w:val="7E297C37"/>
    <w:rsid w:val="7E553215"/>
    <w:rsid w:val="7E5C0773"/>
    <w:rsid w:val="7EBC7738"/>
    <w:rsid w:val="7F0D7F93"/>
    <w:rsid w:val="7F866811"/>
    <w:rsid w:val="7FAE7739"/>
    <w:rsid w:val="7FD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Message Header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autoRedefine/>
    <w:uiPriority w:val="99"/>
    <w:unhideWhenUsed/>
    <w:qFormat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Body Text"/>
    <w:basedOn w:val="a"/>
    <w:next w:val="a"/>
    <w:autoRedefine/>
    <w:uiPriority w:val="99"/>
    <w:qFormat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paragraph" w:styleId="a6">
    <w:name w:val="Body Text Indent"/>
    <w:basedOn w:val="a"/>
    <w:next w:val="2"/>
    <w:autoRedefine/>
    <w:qFormat/>
    <w:pPr>
      <w:spacing w:after="120"/>
      <w:ind w:leftChars="200" w:left="420"/>
    </w:pPr>
  </w:style>
  <w:style w:type="paragraph" w:styleId="2">
    <w:name w:val="Body Text First Indent 2"/>
    <w:basedOn w:val="a6"/>
    <w:autoRedefine/>
    <w:uiPriority w:val="99"/>
    <w:qFormat/>
    <w:pPr>
      <w:ind w:firstLineChars="200" w:firstLine="420"/>
    </w:pPr>
  </w:style>
  <w:style w:type="paragraph" w:styleId="4">
    <w:name w:val="index 4"/>
    <w:basedOn w:val="a"/>
    <w:next w:val="a"/>
    <w:autoRedefine/>
    <w:uiPriority w:val="99"/>
    <w:unhideWhenUsed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7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next w:val="5"/>
    <w:autoRedefine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a">
    <w:name w:val="Message Header"/>
    <w:basedOn w:val="a"/>
    <w:autoRedefine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b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customStyle="1" w:styleId="ad">
    <w:name w:val="表格文字"/>
    <w:basedOn w:val="a6"/>
    <w:next w:val="a5"/>
    <w:autoRedefine/>
    <w:qFormat/>
    <w:pPr>
      <w:spacing w:before="60" w:after="60"/>
      <w:ind w:leftChars="0" w:left="0"/>
    </w:pPr>
    <w:rPr>
      <w:sz w:val="24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style01">
    <w:name w:val="fontstyle01"/>
    <w:basedOn w:val="a0"/>
    <w:autoRedefine/>
    <w:qFormat/>
    <w:rPr>
      <w:rFonts w:ascii="仿宋_GB2312" w:eastAsia="仿宋_GB2312" w:hAnsi="仿宋_GB2312" w:hint="eastAsia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Message Header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autoRedefine/>
    <w:uiPriority w:val="99"/>
    <w:unhideWhenUsed/>
    <w:qFormat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Body Text"/>
    <w:basedOn w:val="a"/>
    <w:next w:val="a"/>
    <w:autoRedefine/>
    <w:uiPriority w:val="99"/>
    <w:qFormat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paragraph" w:styleId="a6">
    <w:name w:val="Body Text Indent"/>
    <w:basedOn w:val="a"/>
    <w:next w:val="2"/>
    <w:autoRedefine/>
    <w:qFormat/>
    <w:pPr>
      <w:spacing w:after="120"/>
      <w:ind w:leftChars="200" w:left="420"/>
    </w:pPr>
  </w:style>
  <w:style w:type="paragraph" w:styleId="2">
    <w:name w:val="Body Text First Indent 2"/>
    <w:basedOn w:val="a6"/>
    <w:autoRedefine/>
    <w:uiPriority w:val="99"/>
    <w:qFormat/>
    <w:pPr>
      <w:ind w:firstLineChars="200" w:firstLine="420"/>
    </w:pPr>
  </w:style>
  <w:style w:type="paragraph" w:styleId="4">
    <w:name w:val="index 4"/>
    <w:basedOn w:val="a"/>
    <w:next w:val="a"/>
    <w:autoRedefine/>
    <w:uiPriority w:val="99"/>
    <w:unhideWhenUsed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7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next w:val="5"/>
    <w:autoRedefine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a">
    <w:name w:val="Message Header"/>
    <w:basedOn w:val="a"/>
    <w:autoRedefine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b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customStyle="1" w:styleId="ad">
    <w:name w:val="表格文字"/>
    <w:basedOn w:val="a6"/>
    <w:next w:val="a5"/>
    <w:autoRedefine/>
    <w:qFormat/>
    <w:pPr>
      <w:spacing w:before="60" w:after="60"/>
      <w:ind w:leftChars="0" w:left="0"/>
    </w:pPr>
    <w:rPr>
      <w:sz w:val="24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style01">
    <w:name w:val="fontstyle01"/>
    <w:basedOn w:val="a0"/>
    <w:autoRedefine/>
    <w:qFormat/>
    <w:rPr>
      <w:rFonts w:ascii="仿宋_GB2312" w:eastAsia="仿宋_GB2312" w:hAnsi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788</Words>
  <Characters>4492</Characters>
  <Application>Microsoft Office Word</Application>
  <DocSecurity>0</DocSecurity>
  <Lines>37</Lines>
  <Paragraphs>10</Paragraphs>
  <ScaleCrop>false</ScaleCrop>
  <Company>Microsoft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MM</cp:lastModifiedBy>
  <cp:revision>9</cp:revision>
  <cp:lastPrinted>2023-04-20T07:14:00Z</cp:lastPrinted>
  <dcterms:created xsi:type="dcterms:W3CDTF">2022-08-23T03:20:00Z</dcterms:created>
  <dcterms:modified xsi:type="dcterms:W3CDTF">2024-03-21T03:06:00Z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66E5BB1BB32343149BFB378676856CF1</vt:lpwstr>
  </property>
</Properties>
</file>