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6E" w:rsidRDefault="00CD3F6E"/>
    <w:p w:rsidR="00606BB7" w:rsidRPr="008023B1" w:rsidRDefault="00606BB7" w:rsidP="00606BB7">
      <w:pPr>
        <w:jc w:val="center"/>
        <w:rPr>
          <w:rFonts w:ascii="楷体" w:eastAsia="楷体" w:hAnsi="楷体" w:hint="eastAsia"/>
          <w:sz w:val="30"/>
          <w:szCs w:val="30"/>
        </w:rPr>
      </w:pPr>
      <w:bookmarkStart w:id="0" w:name="_GoBack"/>
      <w:r w:rsidRPr="00AC7F13">
        <w:rPr>
          <w:rFonts w:ascii="华文中宋" w:eastAsia="华文中宋" w:hAnsi="华文中宋" w:hint="eastAsia"/>
          <w:sz w:val="36"/>
          <w:szCs w:val="36"/>
        </w:rPr>
        <w:t>江苏省教育科学规划精品课题建设标准</w:t>
      </w:r>
      <w:r w:rsidRPr="008023B1">
        <w:rPr>
          <w:rFonts w:ascii="楷体" w:eastAsia="楷体" w:hAnsi="楷体" w:hint="eastAsia"/>
          <w:sz w:val="30"/>
          <w:szCs w:val="30"/>
        </w:rPr>
        <w:t>（第二版）</w:t>
      </w:r>
    </w:p>
    <w:bookmarkEnd w:id="0"/>
    <w:p w:rsidR="00606BB7" w:rsidRPr="00AC7F13" w:rsidRDefault="00606BB7" w:rsidP="00606BB7">
      <w:pPr>
        <w:spacing w:line="240" w:lineRule="exact"/>
        <w:jc w:val="center"/>
        <w:rPr>
          <w:rFonts w:ascii="华文中宋" w:eastAsia="华文中宋" w:hAnsi="华文中宋" w:hint="eastAsia"/>
          <w:sz w:val="36"/>
          <w:szCs w:val="36"/>
        </w:rPr>
      </w:pP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35"/>
        <w:gridCol w:w="1050"/>
      </w:tblGrid>
      <w:tr w:rsidR="00606BB7" w:rsidRPr="00807C28" w:rsidTr="00CB4D9E">
        <w:tblPrEx>
          <w:tblCellMar>
            <w:top w:w="0" w:type="dxa"/>
            <w:bottom w:w="0" w:type="dxa"/>
          </w:tblCellMar>
        </w:tblPrEx>
        <w:trPr>
          <w:trHeight w:val="441"/>
        </w:trPr>
        <w:tc>
          <w:tcPr>
            <w:tcW w:w="1050" w:type="dxa"/>
            <w:vAlign w:val="center"/>
          </w:tcPr>
          <w:p w:rsidR="00606BB7" w:rsidRDefault="00606BB7" w:rsidP="00CB4D9E">
            <w:pPr>
              <w:spacing w:line="300" w:lineRule="exact"/>
              <w:jc w:val="center"/>
              <w:rPr>
                <w:rFonts w:ascii="仿宋" w:eastAsia="仿宋" w:hAnsi="仿宋" w:hint="eastAsia"/>
                <w:b/>
                <w:szCs w:val="21"/>
              </w:rPr>
            </w:pPr>
            <w:r w:rsidRPr="008023B1">
              <w:rPr>
                <w:rFonts w:ascii="仿宋" w:eastAsia="仿宋" w:hAnsi="仿宋" w:hint="eastAsia"/>
                <w:b/>
                <w:szCs w:val="21"/>
              </w:rPr>
              <w:t>一级</w:t>
            </w:r>
          </w:p>
          <w:p w:rsidR="00606BB7" w:rsidRPr="008023B1" w:rsidRDefault="00606BB7" w:rsidP="00CB4D9E">
            <w:pPr>
              <w:spacing w:line="300" w:lineRule="exact"/>
              <w:jc w:val="center"/>
              <w:rPr>
                <w:rFonts w:ascii="仿宋" w:eastAsia="仿宋" w:hAnsi="仿宋" w:hint="eastAsia"/>
                <w:b/>
                <w:szCs w:val="21"/>
              </w:rPr>
            </w:pPr>
            <w:r w:rsidRPr="008023B1">
              <w:rPr>
                <w:rFonts w:ascii="仿宋" w:eastAsia="仿宋" w:hAnsi="仿宋" w:hint="eastAsia"/>
                <w:b/>
                <w:szCs w:val="21"/>
              </w:rPr>
              <w:t>指标</w:t>
            </w:r>
          </w:p>
        </w:tc>
        <w:tc>
          <w:tcPr>
            <w:tcW w:w="7035" w:type="dxa"/>
            <w:vAlign w:val="center"/>
          </w:tcPr>
          <w:p w:rsidR="00606BB7" w:rsidRPr="008023B1" w:rsidRDefault="00606BB7" w:rsidP="00CB4D9E">
            <w:pPr>
              <w:spacing w:line="300" w:lineRule="exact"/>
              <w:jc w:val="center"/>
              <w:rPr>
                <w:rFonts w:ascii="仿宋" w:eastAsia="仿宋" w:hAnsi="仿宋" w:hint="eastAsia"/>
                <w:b/>
                <w:szCs w:val="21"/>
              </w:rPr>
            </w:pPr>
            <w:r w:rsidRPr="008023B1">
              <w:rPr>
                <w:rFonts w:ascii="仿宋" w:eastAsia="仿宋" w:hAnsi="仿宋" w:hint="eastAsia"/>
                <w:b/>
                <w:szCs w:val="21"/>
              </w:rPr>
              <w:t>二级指标</w:t>
            </w:r>
          </w:p>
        </w:tc>
        <w:tc>
          <w:tcPr>
            <w:tcW w:w="1050" w:type="dxa"/>
            <w:vAlign w:val="center"/>
          </w:tcPr>
          <w:p w:rsidR="00606BB7" w:rsidRPr="008023B1" w:rsidRDefault="00606BB7" w:rsidP="00CB4D9E">
            <w:pPr>
              <w:spacing w:line="300" w:lineRule="exact"/>
              <w:jc w:val="center"/>
              <w:rPr>
                <w:rFonts w:ascii="仿宋" w:eastAsia="仿宋" w:hAnsi="仿宋" w:hint="eastAsia"/>
                <w:b/>
                <w:szCs w:val="21"/>
              </w:rPr>
            </w:pPr>
            <w:r w:rsidRPr="008023B1">
              <w:rPr>
                <w:rFonts w:ascii="仿宋" w:eastAsia="仿宋" w:hAnsi="仿宋" w:hint="eastAsia"/>
                <w:b/>
                <w:szCs w:val="21"/>
              </w:rPr>
              <w:t>分值</w:t>
            </w:r>
          </w:p>
        </w:tc>
      </w:tr>
      <w:tr w:rsidR="00606BB7" w:rsidRPr="00807C28" w:rsidTr="00CB4D9E">
        <w:tblPrEx>
          <w:tblCellMar>
            <w:top w:w="0" w:type="dxa"/>
            <w:bottom w:w="0" w:type="dxa"/>
          </w:tblCellMar>
        </w:tblPrEx>
        <w:trPr>
          <w:trHeight w:val="1836"/>
        </w:trPr>
        <w:tc>
          <w:tcPr>
            <w:tcW w:w="1050" w:type="dxa"/>
            <w:vAlign w:val="center"/>
          </w:tcPr>
          <w:p w:rsidR="00606BB7"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精心</w:t>
            </w:r>
          </w:p>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选题</w:t>
            </w:r>
          </w:p>
        </w:tc>
        <w:tc>
          <w:tcPr>
            <w:tcW w:w="7035" w:type="dxa"/>
            <w:vAlign w:val="center"/>
          </w:tcPr>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1．贴近国家教育改革发展重大战略需求，贴近教育理论前沿，贴近教学改革实践，贴近社会舆论关切，有强烈的问题意识和问题针对性，能够把课题所要解决的特定问题揭示和表达清楚。</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2．在同一研究领域有拓展和突破，有特色和新意，有一定的前瞻性、创新性和应用推广价值。</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3．与研究者的专业背景、研究基础和学术水平相适应。</w:t>
            </w:r>
          </w:p>
        </w:tc>
        <w:tc>
          <w:tcPr>
            <w:tcW w:w="1050" w:type="dxa"/>
            <w:vAlign w:val="center"/>
          </w:tcPr>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20分</w:t>
            </w:r>
          </w:p>
        </w:tc>
      </w:tr>
      <w:tr w:rsidR="00606BB7" w:rsidRPr="00807C28" w:rsidTr="00CB4D9E">
        <w:tblPrEx>
          <w:tblCellMar>
            <w:top w:w="0" w:type="dxa"/>
            <w:bottom w:w="0" w:type="dxa"/>
          </w:tblCellMar>
        </w:tblPrEx>
        <w:trPr>
          <w:trHeight w:val="2247"/>
        </w:trPr>
        <w:tc>
          <w:tcPr>
            <w:tcW w:w="1050" w:type="dxa"/>
            <w:vAlign w:val="center"/>
          </w:tcPr>
          <w:p w:rsidR="00606BB7"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精细</w:t>
            </w:r>
          </w:p>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设计</w:t>
            </w:r>
          </w:p>
        </w:tc>
        <w:tc>
          <w:tcPr>
            <w:tcW w:w="7035" w:type="dxa"/>
            <w:vAlign w:val="center"/>
          </w:tcPr>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1．课题表述科学、严谨、规范、简明，有鲜明的价值取向和明确的研究定位。</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2．研究目标指向问题解决，表述层次分明，概括性强；研究内容能够分解落实研究目标，结构合理，重点突出，丰富具体；研究成果与课题核心概念、研究内容高度匹配，密切相关。</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3．遵循并体现理论研究、实践研究和决策咨询研究不同的要求与规范，研究思路清晰，研究逻辑自洽，研究方法适当，论证表达充分合理。</w:t>
            </w:r>
          </w:p>
        </w:tc>
        <w:tc>
          <w:tcPr>
            <w:tcW w:w="1050" w:type="dxa"/>
            <w:vAlign w:val="center"/>
          </w:tcPr>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15分</w:t>
            </w:r>
          </w:p>
        </w:tc>
      </w:tr>
      <w:tr w:rsidR="00606BB7" w:rsidRPr="00807C28" w:rsidTr="00CB4D9E">
        <w:tblPrEx>
          <w:tblCellMar>
            <w:top w:w="0" w:type="dxa"/>
            <w:bottom w:w="0" w:type="dxa"/>
          </w:tblCellMar>
        </w:tblPrEx>
        <w:trPr>
          <w:trHeight w:val="2232"/>
        </w:trPr>
        <w:tc>
          <w:tcPr>
            <w:tcW w:w="1050" w:type="dxa"/>
            <w:vAlign w:val="center"/>
          </w:tcPr>
          <w:p w:rsidR="00606BB7"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精当</w:t>
            </w:r>
          </w:p>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操作</w:t>
            </w:r>
          </w:p>
        </w:tc>
        <w:tc>
          <w:tcPr>
            <w:tcW w:w="7035" w:type="dxa"/>
            <w:vAlign w:val="center"/>
          </w:tcPr>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1．在课题申报评审书基础上，重点围绕“对课题的认识和理解”“研究目标和研究内容”“分工落实和预期成果”，制定一份详尽周到、切实可行的课题实施方案。</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2．聚焦研究内容，组织开展研究活动。有一项研究内容，完成一项相应的研究任务。既不泛化研究内容，也不窄化研究内容。</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3．根据不同的研究内容，选择和运用适当的研究方法去收集、分析事实材料，基于事实材料尤其是实证数据进行合乎逻辑的判断推理，得出研究结论。</w:t>
            </w:r>
          </w:p>
        </w:tc>
        <w:tc>
          <w:tcPr>
            <w:tcW w:w="1050" w:type="dxa"/>
            <w:vAlign w:val="center"/>
          </w:tcPr>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25分</w:t>
            </w:r>
          </w:p>
        </w:tc>
      </w:tr>
      <w:tr w:rsidR="00606BB7" w:rsidRPr="00807C28" w:rsidTr="00CB4D9E">
        <w:tblPrEx>
          <w:tblCellMar>
            <w:top w:w="0" w:type="dxa"/>
            <w:bottom w:w="0" w:type="dxa"/>
          </w:tblCellMar>
        </w:tblPrEx>
        <w:trPr>
          <w:trHeight w:val="2238"/>
        </w:trPr>
        <w:tc>
          <w:tcPr>
            <w:tcW w:w="1050" w:type="dxa"/>
            <w:vAlign w:val="center"/>
          </w:tcPr>
          <w:p w:rsidR="00606BB7"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精彩</w:t>
            </w:r>
          </w:p>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呈现</w:t>
            </w:r>
          </w:p>
        </w:tc>
        <w:tc>
          <w:tcPr>
            <w:tcW w:w="7035" w:type="dxa"/>
            <w:vAlign w:val="center"/>
          </w:tcPr>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1．回归课题名称，全面、系统、清晰表达课题研究的核心思想、实践举措、政策建议，从理论和实践两个方面总结和提炼合乎教育教学规律和原理的研究发现与结论。</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2．回归研究内容，逐项总结和提炼相应的研究成果，以丰富多样、特色鲜明的系列成果支撑课题研究的发现和结论。</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3．回归理性表达，用课题研究所涉及的学科话语、专业话语表达研究成果，体现课题研究应有的专业内涵和品质。</w:t>
            </w:r>
          </w:p>
        </w:tc>
        <w:tc>
          <w:tcPr>
            <w:tcW w:w="1050" w:type="dxa"/>
            <w:vAlign w:val="center"/>
          </w:tcPr>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25分</w:t>
            </w:r>
          </w:p>
        </w:tc>
      </w:tr>
      <w:tr w:rsidR="00606BB7" w:rsidRPr="00807C28" w:rsidTr="00CB4D9E">
        <w:tblPrEx>
          <w:tblCellMar>
            <w:top w:w="0" w:type="dxa"/>
            <w:bottom w:w="0" w:type="dxa"/>
          </w:tblCellMar>
        </w:tblPrEx>
        <w:trPr>
          <w:trHeight w:val="1662"/>
        </w:trPr>
        <w:tc>
          <w:tcPr>
            <w:tcW w:w="1050" w:type="dxa"/>
            <w:vAlign w:val="center"/>
          </w:tcPr>
          <w:p w:rsidR="00606BB7"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精致</w:t>
            </w:r>
          </w:p>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管理</w:t>
            </w:r>
          </w:p>
        </w:tc>
        <w:tc>
          <w:tcPr>
            <w:tcW w:w="7035" w:type="dxa"/>
            <w:vAlign w:val="center"/>
          </w:tcPr>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1．课题核心组成员稳定性强，有明确的任务分工和职责，能够根据课题研究计划在不同的研究阶段有针对性地组织开展各类科研活动。</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2．过程管理规范、具体、扎实，过程性资料丰富完整、前后连贯一致。</w:t>
            </w:r>
          </w:p>
          <w:p w:rsidR="00606BB7" w:rsidRPr="00AC7F13" w:rsidRDefault="00606BB7" w:rsidP="00CB4D9E">
            <w:pPr>
              <w:spacing w:line="320" w:lineRule="exact"/>
              <w:ind w:firstLineChars="200" w:firstLine="480"/>
              <w:rPr>
                <w:rFonts w:ascii="仿宋" w:eastAsia="仿宋" w:hAnsi="仿宋" w:hint="eastAsia"/>
                <w:sz w:val="24"/>
                <w:szCs w:val="24"/>
              </w:rPr>
            </w:pPr>
            <w:r w:rsidRPr="00AC7F13">
              <w:rPr>
                <w:rFonts w:ascii="仿宋" w:eastAsia="仿宋" w:hAnsi="仿宋" w:hint="eastAsia"/>
                <w:sz w:val="24"/>
                <w:szCs w:val="24"/>
              </w:rPr>
              <w:t>3</w:t>
            </w:r>
            <w:r>
              <w:rPr>
                <w:rFonts w:ascii="仿宋" w:eastAsia="仿宋" w:hAnsi="仿宋" w:hint="eastAsia"/>
                <w:sz w:val="24"/>
                <w:szCs w:val="24"/>
              </w:rPr>
              <w:t>．</w:t>
            </w:r>
            <w:r w:rsidRPr="00AC7F13">
              <w:rPr>
                <w:rFonts w:ascii="仿宋" w:eastAsia="仿宋" w:hAnsi="仿宋" w:hint="eastAsia"/>
                <w:sz w:val="24"/>
                <w:szCs w:val="24"/>
              </w:rPr>
              <w:t>重视以课题为载体和手段促进教师专业发展。通过研究和管理，锻炼了教师队伍，培育了科研团队，形成了科研骨干和梯队。</w:t>
            </w:r>
          </w:p>
        </w:tc>
        <w:tc>
          <w:tcPr>
            <w:tcW w:w="1050" w:type="dxa"/>
            <w:vAlign w:val="center"/>
          </w:tcPr>
          <w:p w:rsidR="00606BB7" w:rsidRPr="00AC7F13" w:rsidRDefault="00606BB7" w:rsidP="00CB4D9E">
            <w:pPr>
              <w:spacing w:line="320" w:lineRule="exact"/>
              <w:jc w:val="center"/>
              <w:rPr>
                <w:rFonts w:ascii="仿宋" w:eastAsia="仿宋" w:hAnsi="仿宋" w:hint="eastAsia"/>
                <w:sz w:val="24"/>
                <w:szCs w:val="24"/>
              </w:rPr>
            </w:pPr>
            <w:r w:rsidRPr="00AC7F13">
              <w:rPr>
                <w:rFonts w:ascii="仿宋" w:eastAsia="仿宋" w:hAnsi="仿宋" w:hint="eastAsia"/>
                <w:sz w:val="24"/>
                <w:szCs w:val="24"/>
              </w:rPr>
              <w:t>15分</w:t>
            </w:r>
          </w:p>
        </w:tc>
      </w:tr>
    </w:tbl>
    <w:p w:rsidR="00606BB7" w:rsidRDefault="00606BB7">
      <w:pPr>
        <w:rPr>
          <w:rFonts w:hint="eastAsia"/>
        </w:rPr>
      </w:pPr>
    </w:p>
    <w:sectPr w:rsidR="00606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820" w:rsidRDefault="00671820" w:rsidP="00606BB7">
      <w:r>
        <w:separator/>
      </w:r>
    </w:p>
  </w:endnote>
  <w:endnote w:type="continuationSeparator" w:id="0">
    <w:p w:rsidR="00671820" w:rsidRDefault="00671820" w:rsidP="0060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820" w:rsidRDefault="00671820" w:rsidP="00606BB7">
      <w:r>
        <w:separator/>
      </w:r>
    </w:p>
  </w:footnote>
  <w:footnote w:type="continuationSeparator" w:id="0">
    <w:p w:rsidR="00671820" w:rsidRDefault="00671820" w:rsidP="00606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C7"/>
    <w:rsid w:val="003261C7"/>
    <w:rsid w:val="00606BB7"/>
    <w:rsid w:val="00671820"/>
    <w:rsid w:val="00CD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0848E"/>
  <w15:chartTrackingRefBased/>
  <w15:docId w15:val="{5AFD8817-EC5B-4FA6-BB9A-8891DCB9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6B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B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06BB7"/>
    <w:rPr>
      <w:sz w:val="18"/>
      <w:szCs w:val="18"/>
    </w:rPr>
  </w:style>
  <w:style w:type="paragraph" w:styleId="a5">
    <w:name w:val="footer"/>
    <w:basedOn w:val="a"/>
    <w:link w:val="a6"/>
    <w:uiPriority w:val="99"/>
    <w:unhideWhenUsed/>
    <w:rsid w:val="00606B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06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dc:creator>
  <cp:keywords/>
  <dc:description/>
  <cp:lastModifiedBy>lym</cp:lastModifiedBy>
  <cp:revision>2</cp:revision>
  <dcterms:created xsi:type="dcterms:W3CDTF">2018-05-22T07:57:00Z</dcterms:created>
  <dcterms:modified xsi:type="dcterms:W3CDTF">2018-05-22T07:57:00Z</dcterms:modified>
</cp:coreProperties>
</file>